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A7" w:rsidRPr="00C97A0C" w:rsidRDefault="00633979" w:rsidP="00701985">
      <w:pPr>
        <w:jc w:val="center"/>
        <w:rPr>
          <w:rFonts w:ascii="Arial" w:hAnsi="Arial" w:cs="Arial"/>
          <w:b/>
          <w:sz w:val="32"/>
          <w:szCs w:val="32"/>
        </w:rPr>
      </w:pPr>
      <w:r w:rsidRPr="00C97A0C">
        <w:rPr>
          <w:rFonts w:ascii="Arial" w:hAnsi="Arial" w:cs="Arial"/>
          <w:b/>
          <w:sz w:val="32"/>
          <w:szCs w:val="32"/>
        </w:rPr>
        <w:t>Circolare sul</w:t>
      </w:r>
      <w:r w:rsidR="00701985" w:rsidRPr="00C97A0C">
        <w:rPr>
          <w:rFonts w:ascii="Arial" w:hAnsi="Arial" w:cs="Arial"/>
          <w:b/>
          <w:sz w:val="32"/>
          <w:szCs w:val="32"/>
        </w:rPr>
        <w:t xml:space="preserve"> rinnovo del </w:t>
      </w:r>
      <w:proofErr w:type="spellStart"/>
      <w:r w:rsidR="00701985" w:rsidRPr="00C97A0C">
        <w:rPr>
          <w:rFonts w:ascii="Arial" w:hAnsi="Arial" w:cs="Arial"/>
          <w:b/>
          <w:sz w:val="32"/>
          <w:szCs w:val="32"/>
        </w:rPr>
        <w:t>ccnl</w:t>
      </w:r>
      <w:proofErr w:type="spellEnd"/>
      <w:r w:rsidR="00701985" w:rsidRPr="00C97A0C">
        <w:rPr>
          <w:rFonts w:ascii="Arial" w:hAnsi="Arial" w:cs="Arial"/>
          <w:b/>
          <w:sz w:val="32"/>
          <w:szCs w:val="32"/>
        </w:rPr>
        <w:t xml:space="preserve"> dirigenti di aziende produttrici di beni e servizi</w:t>
      </w:r>
    </w:p>
    <w:p w:rsidR="00701985" w:rsidRPr="00C97A0C" w:rsidRDefault="00701985" w:rsidP="00701985">
      <w:pPr>
        <w:jc w:val="center"/>
        <w:rPr>
          <w:rFonts w:ascii="Arial" w:hAnsi="Arial" w:cs="Arial"/>
          <w:b/>
          <w:sz w:val="32"/>
          <w:szCs w:val="32"/>
        </w:rPr>
      </w:pPr>
    </w:p>
    <w:p w:rsidR="00D72B3B" w:rsidRPr="00C97A0C" w:rsidRDefault="00D72B3B" w:rsidP="00D72B3B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Con l’intesa definita il 30 dicembre 2014, Confindustria e </w:t>
      </w:r>
      <w:proofErr w:type="spellStart"/>
      <w:r w:rsidRPr="00C97A0C">
        <w:rPr>
          <w:rFonts w:ascii="Arial" w:hAnsi="Arial" w:cs="Arial"/>
          <w:sz w:val="32"/>
          <w:szCs w:val="32"/>
        </w:rPr>
        <w:t>Federmanager</w:t>
      </w:r>
      <w:proofErr w:type="spellEnd"/>
      <w:r w:rsidRPr="00C97A0C">
        <w:rPr>
          <w:rFonts w:ascii="Arial" w:hAnsi="Arial" w:cs="Arial"/>
          <w:sz w:val="32"/>
          <w:szCs w:val="32"/>
        </w:rPr>
        <w:t xml:space="preserve"> hanno inteso rinnovare, a decorrere dal 1° gennaio del 2015, il </w:t>
      </w:r>
      <w:proofErr w:type="spellStart"/>
      <w:r w:rsidRPr="00C97A0C">
        <w:rPr>
          <w:rFonts w:ascii="Arial" w:hAnsi="Arial" w:cs="Arial"/>
          <w:sz w:val="32"/>
          <w:szCs w:val="32"/>
        </w:rPr>
        <w:t>c.c.n.l.</w:t>
      </w:r>
      <w:proofErr w:type="spellEnd"/>
      <w:r w:rsidR="00633979" w:rsidRPr="00C97A0C">
        <w:rPr>
          <w:rFonts w:ascii="Arial" w:hAnsi="Arial" w:cs="Arial"/>
          <w:b/>
          <w:sz w:val="32"/>
          <w:szCs w:val="32"/>
        </w:rPr>
        <w:t xml:space="preserve"> </w:t>
      </w:r>
      <w:r w:rsidR="00633979" w:rsidRPr="00C97A0C">
        <w:rPr>
          <w:rFonts w:ascii="Arial" w:hAnsi="Arial" w:cs="Arial"/>
          <w:sz w:val="32"/>
          <w:szCs w:val="32"/>
        </w:rPr>
        <w:t>per i dirigenti di aziende produttrici di beni e servizi.</w:t>
      </w:r>
    </w:p>
    <w:p w:rsidR="00633979" w:rsidRPr="00C45CDD" w:rsidRDefault="00E47D3D" w:rsidP="00D72B3B">
      <w:p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>L</w:t>
      </w:r>
      <w:r w:rsidR="00633979" w:rsidRPr="00C45CDD">
        <w:rPr>
          <w:rFonts w:ascii="Arial" w:hAnsi="Arial" w:cs="Arial"/>
          <w:sz w:val="32"/>
          <w:szCs w:val="32"/>
        </w:rPr>
        <w:t xml:space="preserve">’intesa sul </w:t>
      </w:r>
      <w:r w:rsidRPr="00C45CDD">
        <w:rPr>
          <w:rFonts w:ascii="Arial" w:hAnsi="Arial" w:cs="Arial"/>
          <w:sz w:val="32"/>
          <w:szCs w:val="32"/>
        </w:rPr>
        <w:t>rinnovo</w:t>
      </w:r>
      <w:r w:rsidR="00633979" w:rsidRPr="00C45CDD">
        <w:rPr>
          <w:rFonts w:ascii="Arial" w:hAnsi="Arial" w:cs="Arial"/>
          <w:sz w:val="32"/>
          <w:szCs w:val="32"/>
        </w:rPr>
        <w:t xml:space="preserve"> ha, dunque, consentito alle imprese di fare riferimento ad </w:t>
      </w:r>
      <w:r w:rsidR="00697721" w:rsidRPr="00C45CDD">
        <w:rPr>
          <w:rFonts w:ascii="Arial" w:hAnsi="Arial" w:cs="Arial"/>
          <w:sz w:val="32"/>
          <w:szCs w:val="32"/>
        </w:rPr>
        <w:t xml:space="preserve">una </w:t>
      </w:r>
      <w:r w:rsidR="00633979" w:rsidRPr="00C45CDD">
        <w:rPr>
          <w:rFonts w:ascii="Arial" w:hAnsi="Arial" w:cs="Arial"/>
          <w:sz w:val="32"/>
          <w:szCs w:val="32"/>
        </w:rPr>
        <w:t xml:space="preserve">fonte collettiva di disciplina del rapporto </w:t>
      </w:r>
      <w:r w:rsidR="00B76F4C" w:rsidRPr="00C45CDD">
        <w:rPr>
          <w:rFonts w:ascii="Arial" w:hAnsi="Arial" w:cs="Arial"/>
          <w:sz w:val="32"/>
          <w:szCs w:val="32"/>
        </w:rPr>
        <w:t xml:space="preserve">dei dirigenti </w:t>
      </w:r>
      <w:r w:rsidR="00633979" w:rsidRPr="00C45CDD">
        <w:rPr>
          <w:rFonts w:ascii="Arial" w:hAnsi="Arial" w:cs="Arial"/>
          <w:sz w:val="32"/>
          <w:szCs w:val="32"/>
        </w:rPr>
        <w:t xml:space="preserve">fin dal 1° gennaio dell’anno in corso, </w:t>
      </w:r>
      <w:r w:rsidR="00B76F4C" w:rsidRPr="00C45CDD">
        <w:rPr>
          <w:rFonts w:ascii="Arial" w:hAnsi="Arial" w:cs="Arial"/>
          <w:sz w:val="32"/>
          <w:szCs w:val="32"/>
        </w:rPr>
        <w:t xml:space="preserve">senza </w:t>
      </w:r>
      <w:r w:rsidRPr="00C45CDD">
        <w:rPr>
          <w:rFonts w:ascii="Arial" w:hAnsi="Arial" w:cs="Arial"/>
          <w:sz w:val="32"/>
          <w:szCs w:val="32"/>
        </w:rPr>
        <w:t>che si verificasse alcun periodo di “vuoto normativo” rispetto al</w:t>
      </w:r>
      <w:r w:rsidR="00B76F4C" w:rsidRPr="00C45CDD">
        <w:rPr>
          <w:rFonts w:ascii="Arial" w:hAnsi="Arial" w:cs="Arial"/>
          <w:sz w:val="32"/>
          <w:szCs w:val="32"/>
        </w:rPr>
        <w:t>la disciplina recata da</w:t>
      </w:r>
      <w:r w:rsidR="00633979" w:rsidRPr="00C45CDD">
        <w:rPr>
          <w:rFonts w:ascii="Arial" w:hAnsi="Arial" w:cs="Arial"/>
          <w:sz w:val="32"/>
          <w:szCs w:val="32"/>
        </w:rPr>
        <w:t xml:space="preserve">l </w:t>
      </w:r>
      <w:r w:rsidR="00B76F4C" w:rsidRPr="00C45CDD">
        <w:rPr>
          <w:rFonts w:ascii="Arial" w:hAnsi="Arial" w:cs="Arial"/>
          <w:sz w:val="32"/>
          <w:szCs w:val="32"/>
        </w:rPr>
        <w:t xml:space="preserve">precedente </w:t>
      </w:r>
      <w:proofErr w:type="spellStart"/>
      <w:r w:rsidR="00633979" w:rsidRPr="00C45CDD">
        <w:rPr>
          <w:rFonts w:ascii="Arial" w:hAnsi="Arial" w:cs="Arial"/>
          <w:sz w:val="32"/>
          <w:szCs w:val="32"/>
        </w:rPr>
        <w:t>ccnl</w:t>
      </w:r>
      <w:proofErr w:type="spellEnd"/>
      <w:r w:rsidRPr="00C45CDD">
        <w:rPr>
          <w:rFonts w:ascii="Arial" w:hAnsi="Arial" w:cs="Arial"/>
          <w:sz w:val="32"/>
          <w:szCs w:val="32"/>
        </w:rPr>
        <w:t xml:space="preserve">, </w:t>
      </w:r>
      <w:r w:rsidR="00633979" w:rsidRPr="00C45CDD">
        <w:rPr>
          <w:rFonts w:ascii="Arial" w:hAnsi="Arial" w:cs="Arial"/>
          <w:sz w:val="32"/>
          <w:szCs w:val="32"/>
        </w:rPr>
        <w:t>vigente fino al 31 dicembre 2014</w:t>
      </w:r>
      <w:r w:rsidR="00B76F4C" w:rsidRPr="00C45CDD">
        <w:rPr>
          <w:rFonts w:ascii="Arial" w:hAnsi="Arial" w:cs="Arial"/>
          <w:sz w:val="32"/>
          <w:szCs w:val="32"/>
        </w:rPr>
        <w:t>.</w:t>
      </w:r>
    </w:p>
    <w:p w:rsidR="00B76F4C" w:rsidRPr="00C97A0C" w:rsidRDefault="00B76F4C" w:rsidP="00D72B3B">
      <w:p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>Di seguito si illustrano le principali novità introdotte dall’a</w:t>
      </w:r>
      <w:r w:rsidRPr="00C97A0C">
        <w:rPr>
          <w:rFonts w:ascii="Arial" w:hAnsi="Arial" w:cs="Arial"/>
          <w:sz w:val="32"/>
          <w:szCs w:val="32"/>
        </w:rPr>
        <w:t>ccordo del 30 dicembre 2014</w:t>
      </w:r>
    </w:p>
    <w:p w:rsidR="00B76F4C" w:rsidRPr="00C97A0C" w:rsidRDefault="00B76F4C" w:rsidP="00D72B3B">
      <w:pPr>
        <w:jc w:val="both"/>
        <w:rPr>
          <w:rFonts w:ascii="Arial" w:hAnsi="Arial" w:cs="Arial"/>
          <w:sz w:val="32"/>
          <w:szCs w:val="32"/>
        </w:rPr>
      </w:pPr>
    </w:p>
    <w:p w:rsidR="00701985" w:rsidRPr="00C97A0C" w:rsidRDefault="00701985" w:rsidP="00701985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 w:rsidRPr="00C97A0C">
        <w:rPr>
          <w:rFonts w:ascii="Arial" w:hAnsi="Arial" w:cs="Arial"/>
          <w:b/>
          <w:sz w:val="32"/>
          <w:szCs w:val="32"/>
          <w:u w:val="single"/>
        </w:rPr>
        <w:t>TMCG</w:t>
      </w:r>
    </w:p>
    <w:p w:rsidR="00701985" w:rsidRPr="00C97A0C" w:rsidRDefault="00701985" w:rsidP="00E47D3D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Il livello del TMCG da assumere a riferim</w:t>
      </w:r>
      <w:r w:rsidR="00FB08EB" w:rsidRPr="00C97A0C">
        <w:rPr>
          <w:rFonts w:ascii="Arial" w:hAnsi="Arial" w:cs="Arial"/>
          <w:sz w:val="32"/>
          <w:szCs w:val="32"/>
        </w:rPr>
        <w:t xml:space="preserve">ento dal 2015, per i dirigenti </w:t>
      </w:r>
      <w:r w:rsidRPr="00C97A0C">
        <w:rPr>
          <w:rFonts w:ascii="Arial" w:hAnsi="Arial" w:cs="Arial"/>
          <w:sz w:val="32"/>
          <w:szCs w:val="32"/>
        </w:rPr>
        <w:t>assunti o nominati dal 1° gennaio 2015</w:t>
      </w:r>
      <w:r w:rsidR="009B6A91" w:rsidRPr="00C97A0C">
        <w:rPr>
          <w:rFonts w:ascii="Arial" w:hAnsi="Arial" w:cs="Arial"/>
          <w:sz w:val="32"/>
          <w:szCs w:val="32"/>
        </w:rPr>
        <w:t>,</w:t>
      </w:r>
      <w:r w:rsidR="00A61710" w:rsidRPr="00C97A0C">
        <w:rPr>
          <w:rFonts w:ascii="Arial" w:hAnsi="Arial" w:cs="Arial"/>
          <w:sz w:val="32"/>
          <w:szCs w:val="32"/>
        </w:rPr>
        <w:t xml:space="preserve"> è di 66</w:t>
      </w:r>
      <w:r w:rsidRPr="00C97A0C">
        <w:rPr>
          <w:rFonts w:ascii="Arial" w:hAnsi="Arial" w:cs="Arial"/>
          <w:sz w:val="32"/>
          <w:szCs w:val="32"/>
        </w:rPr>
        <w:t>.000 euro.</w:t>
      </w:r>
      <w:r w:rsidR="00727398" w:rsidRPr="00C97A0C">
        <w:rPr>
          <w:rFonts w:ascii="Arial" w:hAnsi="Arial" w:cs="Arial"/>
          <w:sz w:val="32"/>
          <w:szCs w:val="32"/>
        </w:rPr>
        <w:t xml:space="preserve"> Lo stesso livello di TMCG è riconosciuto a tutti i dirigenti che, al 1° gennaio 2015, abbiano maturato una anzianità </w:t>
      </w:r>
      <w:r w:rsidR="00FB08EB" w:rsidRPr="00C97A0C">
        <w:rPr>
          <w:rFonts w:ascii="Arial" w:hAnsi="Arial" w:cs="Arial"/>
          <w:sz w:val="32"/>
          <w:szCs w:val="32"/>
        </w:rPr>
        <w:t xml:space="preserve">di servizio </w:t>
      </w:r>
      <w:r w:rsidR="00727398" w:rsidRPr="00C97A0C">
        <w:rPr>
          <w:rFonts w:ascii="Arial" w:hAnsi="Arial" w:cs="Arial"/>
          <w:sz w:val="32"/>
          <w:szCs w:val="32"/>
        </w:rPr>
        <w:t>nella qualifica e nell’azienda pari o inferiore a dodici mesi.</w:t>
      </w:r>
    </w:p>
    <w:p w:rsidR="009B6A91" w:rsidRPr="00C97A0C" w:rsidRDefault="00701985" w:rsidP="00701985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  <w:u w:val="single"/>
        </w:rPr>
        <w:t>Il secondo livello del TMCG viene definitivamente superato</w:t>
      </w:r>
      <w:r w:rsidRPr="00C97A0C">
        <w:rPr>
          <w:rFonts w:ascii="Arial" w:hAnsi="Arial" w:cs="Arial"/>
          <w:sz w:val="32"/>
          <w:szCs w:val="32"/>
        </w:rPr>
        <w:t xml:space="preserve">. </w:t>
      </w:r>
    </w:p>
    <w:p w:rsidR="009B6A91" w:rsidRPr="00C97A0C" w:rsidRDefault="00A61710" w:rsidP="00701985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A ragione del superamento del secondo livello, le parti hanno concordato, a favore de</w:t>
      </w:r>
      <w:r w:rsidR="00727398" w:rsidRPr="00C97A0C">
        <w:rPr>
          <w:rFonts w:ascii="Arial" w:hAnsi="Arial" w:cs="Arial"/>
          <w:sz w:val="32"/>
          <w:szCs w:val="32"/>
        </w:rPr>
        <w:t xml:space="preserve">i </w:t>
      </w:r>
      <w:r w:rsidRPr="00C97A0C">
        <w:rPr>
          <w:rFonts w:ascii="Arial" w:hAnsi="Arial" w:cs="Arial"/>
          <w:sz w:val="32"/>
          <w:szCs w:val="32"/>
        </w:rPr>
        <w:t xml:space="preserve">dirigenti </w:t>
      </w:r>
      <w:r w:rsidR="009B6A91" w:rsidRPr="00C97A0C">
        <w:rPr>
          <w:rFonts w:ascii="Arial" w:hAnsi="Arial" w:cs="Arial"/>
          <w:sz w:val="32"/>
          <w:szCs w:val="32"/>
        </w:rPr>
        <w:t xml:space="preserve">con una anzianità </w:t>
      </w:r>
      <w:r w:rsidR="00FB08EB" w:rsidRPr="00C97A0C">
        <w:rPr>
          <w:rFonts w:ascii="Arial" w:hAnsi="Arial" w:cs="Arial"/>
          <w:sz w:val="32"/>
          <w:szCs w:val="32"/>
        </w:rPr>
        <w:t xml:space="preserve">di servizio </w:t>
      </w:r>
      <w:r w:rsidR="009B6A91" w:rsidRPr="00C97A0C">
        <w:rPr>
          <w:rFonts w:ascii="Arial" w:hAnsi="Arial" w:cs="Arial"/>
          <w:sz w:val="32"/>
          <w:szCs w:val="32"/>
        </w:rPr>
        <w:t>nella qualifica</w:t>
      </w:r>
      <w:r w:rsidR="00FB08EB" w:rsidRPr="00C97A0C">
        <w:rPr>
          <w:rFonts w:ascii="Arial" w:hAnsi="Arial" w:cs="Arial"/>
          <w:sz w:val="32"/>
          <w:szCs w:val="32"/>
        </w:rPr>
        <w:t xml:space="preserve"> e nell’azienda</w:t>
      </w:r>
      <w:r w:rsidR="009B6A91" w:rsidRPr="00C97A0C">
        <w:rPr>
          <w:rFonts w:ascii="Arial" w:hAnsi="Arial" w:cs="Arial"/>
          <w:sz w:val="32"/>
          <w:szCs w:val="32"/>
        </w:rPr>
        <w:t>, al 1° gennaio 2015, superiore all’</w:t>
      </w:r>
      <w:r w:rsidRPr="00C97A0C">
        <w:rPr>
          <w:rFonts w:ascii="Arial" w:hAnsi="Arial" w:cs="Arial"/>
          <w:sz w:val="32"/>
          <w:szCs w:val="32"/>
        </w:rPr>
        <w:t xml:space="preserve">anno, </w:t>
      </w:r>
      <w:r w:rsidR="009B6A91" w:rsidRPr="00C97A0C">
        <w:rPr>
          <w:rFonts w:ascii="Arial" w:hAnsi="Arial" w:cs="Arial"/>
          <w:sz w:val="32"/>
          <w:szCs w:val="32"/>
        </w:rPr>
        <w:t>una peculiare disciplina del livello del TMCG applicabile dal 2015.</w:t>
      </w:r>
    </w:p>
    <w:p w:rsidR="00701985" w:rsidRPr="00C97A0C" w:rsidRDefault="00132462" w:rsidP="00701985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La logica sottesa a</w:t>
      </w:r>
      <w:r w:rsidR="009B6A91" w:rsidRPr="00C97A0C">
        <w:rPr>
          <w:rFonts w:ascii="Arial" w:hAnsi="Arial" w:cs="Arial"/>
          <w:sz w:val="32"/>
          <w:szCs w:val="32"/>
        </w:rPr>
        <w:t xml:space="preserve"> questa particolare disciplina</w:t>
      </w:r>
      <w:r w:rsidRPr="00C97A0C">
        <w:rPr>
          <w:rFonts w:ascii="Arial" w:hAnsi="Arial" w:cs="Arial"/>
          <w:sz w:val="32"/>
          <w:szCs w:val="32"/>
        </w:rPr>
        <w:t>,</w:t>
      </w:r>
      <w:r w:rsidR="009B6A91" w:rsidRPr="00C97A0C">
        <w:rPr>
          <w:rFonts w:ascii="Arial" w:hAnsi="Arial" w:cs="Arial"/>
          <w:sz w:val="32"/>
          <w:szCs w:val="32"/>
        </w:rPr>
        <w:t xml:space="preserve"> è così riassumibile:</w:t>
      </w:r>
    </w:p>
    <w:p w:rsidR="009B6A91" w:rsidRPr="00C45CDD" w:rsidRDefault="00A61710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lastRenderedPageBreak/>
        <w:t>a</w:t>
      </w:r>
      <w:r w:rsidR="009B6A91" w:rsidRPr="00C45CDD">
        <w:rPr>
          <w:rFonts w:ascii="Arial" w:hAnsi="Arial" w:cs="Arial"/>
          <w:sz w:val="32"/>
          <w:szCs w:val="32"/>
        </w:rPr>
        <w:t xml:space="preserve">l sesto anno </w:t>
      </w:r>
      <w:r w:rsidR="00E47D3D" w:rsidRPr="00C45CDD">
        <w:rPr>
          <w:rFonts w:ascii="Arial" w:hAnsi="Arial" w:cs="Arial"/>
          <w:sz w:val="32"/>
          <w:szCs w:val="32"/>
        </w:rPr>
        <w:t xml:space="preserve">di rapporto, </w:t>
      </w:r>
      <w:r w:rsidR="009B6A91" w:rsidRPr="00C45CDD">
        <w:rPr>
          <w:rFonts w:ascii="Arial" w:hAnsi="Arial" w:cs="Arial"/>
          <w:sz w:val="32"/>
          <w:szCs w:val="32"/>
        </w:rPr>
        <w:t xml:space="preserve">i dirigenti </w:t>
      </w:r>
      <w:r w:rsidR="00E47D3D" w:rsidRPr="00C45CDD">
        <w:rPr>
          <w:rFonts w:ascii="Arial" w:hAnsi="Arial" w:cs="Arial"/>
          <w:sz w:val="32"/>
          <w:szCs w:val="32"/>
        </w:rPr>
        <w:t xml:space="preserve">in servizio alla data del rinnovo </w:t>
      </w:r>
      <w:r w:rsidR="009B6A91" w:rsidRPr="00C45CDD">
        <w:rPr>
          <w:rFonts w:ascii="Arial" w:hAnsi="Arial" w:cs="Arial"/>
          <w:sz w:val="32"/>
          <w:szCs w:val="32"/>
        </w:rPr>
        <w:t>avrebbero maturato</w:t>
      </w:r>
      <w:r w:rsidR="00E47D3D" w:rsidRPr="00C45CDD">
        <w:rPr>
          <w:rFonts w:ascii="Arial" w:hAnsi="Arial" w:cs="Arial"/>
          <w:sz w:val="32"/>
          <w:szCs w:val="32"/>
        </w:rPr>
        <w:t>, ove la norma contrattuale non fosse stata modificata,</w:t>
      </w:r>
      <w:r w:rsidR="009B6A91" w:rsidRPr="00C45CDD">
        <w:rPr>
          <w:rFonts w:ascii="Arial" w:hAnsi="Arial" w:cs="Arial"/>
          <w:sz w:val="32"/>
          <w:szCs w:val="32"/>
        </w:rPr>
        <w:t xml:space="preserve"> il secondo livello</w:t>
      </w:r>
      <w:r w:rsidR="00132462" w:rsidRPr="00C45CDD">
        <w:rPr>
          <w:rFonts w:ascii="Arial" w:hAnsi="Arial" w:cs="Arial"/>
          <w:sz w:val="32"/>
          <w:szCs w:val="32"/>
        </w:rPr>
        <w:t xml:space="preserve"> di TMCG</w:t>
      </w:r>
      <w:r w:rsidR="009B6A91" w:rsidRPr="00C45CDD">
        <w:rPr>
          <w:rFonts w:ascii="Arial" w:hAnsi="Arial" w:cs="Arial"/>
          <w:sz w:val="32"/>
          <w:szCs w:val="32"/>
        </w:rPr>
        <w:t>;</w:t>
      </w:r>
    </w:p>
    <w:p w:rsidR="009B6A91" w:rsidRPr="00C97A0C" w:rsidRDefault="00132462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i</w:t>
      </w:r>
      <w:r w:rsidR="009B6A91" w:rsidRPr="00C97A0C">
        <w:rPr>
          <w:rFonts w:ascii="Arial" w:hAnsi="Arial" w:cs="Arial"/>
          <w:sz w:val="32"/>
          <w:szCs w:val="32"/>
        </w:rPr>
        <w:t>l secondo livello è stato</w:t>
      </w:r>
      <w:r w:rsidRPr="00C97A0C">
        <w:rPr>
          <w:rFonts w:ascii="Arial" w:hAnsi="Arial" w:cs="Arial"/>
          <w:sz w:val="32"/>
          <w:szCs w:val="32"/>
        </w:rPr>
        <w:t>, invece,</w:t>
      </w:r>
      <w:r w:rsidR="009B6A91" w:rsidRPr="00C97A0C">
        <w:rPr>
          <w:rFonts w:ascii="Arial" w:hAnsi="Arial" w:cs="Arial"/>
          <w:sz w:val="32"/>
          <w:szCs w:val="32"/>
        </w:rPr>
        <w:t xml:space="preserve"> superato</w:t>
      </w:r>
      <w:r w:rsidRPr="00C97A0C">
        <w:rPr>
          <w:rFonts w:ascii="Arial" w:hAnsi="Arial" w:cs="Arial"/>
          <w:sz w:val="32"/>
          <w:szCs w:val="32"/>
        </w:rPr>
        <w:t xml:space="preserve"> dall’accordo di rinnovo</w:t>
      </w:r>
      <w:r w:rsidR="009B6A91" w:rsidRPr="00C97A0C">
        <w:rPr>
          <w:rFonts w:ascii="Arial" w:hAnsi="Arial" w:cs="Arial"/>
          <w:sz w:val="32"/>
          <w:szCs w:val="32"/>
        </w:rPr>
        <w:t>;</w:t>
      </w:r>
    </w:p>
    <w:p w:rsidR="009B6A91" w:rsidRPr="00C45CDD" w:rsidRDefault="00E47D3D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>i</w:t>
      </w:r>
      <w:r w:rsidR="009B6A91" w:rsidRPr="00C45CDD">
        <w:rPr>
          <w:rFonts w:ascii="Arial" w:hAnsi="Arial" w:cs="Arial"/>
          <w:sz w:val="32"/>
          <w:szCs w:val="32"/>
        </w:rPr>
        <w:t xml:space="preserve"> dirigenti tra il primo e il</w:t>
      </w:r>
      <w:r w:rsidR="00132462" w:rsidRPr="00C45CDD">
        <w:rPr>
          <w:rFonts w:ascii="Arial" w:hAnsi="Arial" w:cs="Arial"/>
          <w:sz w:val="32"/>
          <w:szCs w:val="32"/>
        </w:rPr>
        <w:t xml:space="preserve"> sesto anno di anzianità vedono,</w:t>
      </w:r>
      <w:r w:rsidR="009B6A91" w:rsidRPr="00C45CDD">
        <w:rPr>
          <w:rFonts w:ascii="Arial" w:hAnsi="Arial" w:cs="Arial"/>
          <w:sz w:val="32"/>
          <w:szCs w:val="32"/>
        </w:rPr>
        <w:t xml:space="preserve"> pertanto</w:t>
      </w:r>
      <w:r w:rsidR="00132462" w:rsidRPr="00C45CDD">
        <w:rPr>
          <w:rFonts w:ascii="Arial" w:hAnsi="Arial" w:cs="Arial"/>
          <w:sz w:val="32"/>
          <w:szCs w:val="32"/>
        </w:rPr>
        <w:t xml:space="preserve">, disattesa </w:t>
      </w:r>
      <w:r w:rsidRPr="00C45CDD">
        <w:rPr>
          <w:rFonts w:ascii="Arial" w:hAnsi="Arial" w:cs="Arial"/>
          <w:sz w:val="32"/>
          <w:szCs w:val="32"/>
        </w:rPr>
        <w:t>“</w:t>
      </w:r>
      <w:r w:rsidR="00132462" w:rsidRPr="00C45CDD">
        <w:rPr>
          <w:rFonts w:ascii="Arial" w:hAnsi="Arial" w:cs="Arial"/>
          <w:sz w:val="32"/>
          <w:szCs w:val="32"/>
        </w:rPr>
        <w:t>l’</w:t>
      </w:r>
      <w:r w:rsidR="009B6A91" w:rsidRPr="00C45CDD">
        <w:rPr>
          <w:rFonts w:ascii="Arial" w:hAnsi="Arial" w:cs="Arial"/>
          <w:sz w:val="32"/>
          <w:szCs w:val="32"/>
        </w:rPr>
        <w:t>aspettativa</w:t>
      </w:r>
      <w:r w:rsidRPr="00C45CDD">
        <w:rPr>
          <w:rFonts w:ascii="Arial" w:hAnsi="Arial" w:cs="Arial"/>
          <w:sz w:val="32"/>
          <w:szCs w:val="32"/>
        </w:rPr>
        <w:t>”, non giuridicamente vincolante,</w:t>
      </w:r>
      <w:r w:rsidR="009B6A91" w:rsidRPr="00C45CDD">
        <w:rPr>
          <w:rFonts w:ascii="Arial" w:hAnsi="Arial" w:cs="Arial"/>
          <w:sz w:val="32"/>
          <w:szCs w:val="32"/>
        </w:rPr>
        <w:t xml:space="preserve"> di maturare il secondo livello</w:t>
      </w:r>
      <w:r w:rsidR="00132462" w:rsidRPr="00C45CDD">
        <w:rPr>
          <w:rFonts w:ascii="Arial" w:hAnsi="Arial" w:cs="Arial"/>
          <w:sz w:val="32"/>
          <w:szCs w:val="32"/>
        </w:rPr>
        <w:t>;</w:t>
      </w:r>
    </w:p>
    <w:p w:rsidR="009B6A91" w:rsidRPr="00C97A0C" w:rsidRDefault="00132462" w:rsidP="009B6A9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>si è, allora,</w:t>
      </w:r>
      <w:r w:rsidR="00697721" w:rsidRPr="00C45CDD">
        <w:rPr>
          <w:rFonts w:ascii="Arial" w:hAnsi="Arial" w:cs="Arial"/>
          <w:sz w:val="32"/>
          <w:szCs w:val="32"/>
        </w:rPr>
        <w:t xml:space="preserve"> concordato di riconoscere</w:t>
      </w:r>
      <w:r w:rsidR="00DE6A0B" w:rsidRPr="00C45CDD">
        <w:rPr>
          <w:rFonts w:ascii="Arial" w:hAnsi="Arial" w:cs="Arial"/>
          <w:sz w:val="32"/>
          <w:szCs w:val="32"/>
        </w:rPr>
        <w:t xml:space="preserve"> in via convenzionale, alla maggior parte de</w:t>
      </w:r>
      <w:r w:rsidR="00E47D3D" w:rsidRPr="00C45CDD">
        <w:rPr>
          <w:rFonts w:ascii="Arial" w:hAnsi="Arial" w:cs="Arial"/>
          <w:sz w:val="32"/>
          <w:szCs w:val="32"/>
        </w:rPr>
        <w:t>i dirigenti in servizio al momento del rinnovo,</w:t>
      </w:r>
      <w:r w:rsidR="009B6A91" w:rsidRPr="00C45CDD">
        <w:rPr>
          <w:rFonts w:ascii="Arial" w:hAnsi="Arial" w:cs="Arial"/>
          <w:sz w:val="32"/>
          <w:szCs w:val="32"/>
        </w:rPr>
        <w:t xml:space="preserve"> </w:t>
      </w:r>
      <w:r w:rsidR="00E47D3D" w:rsidRPr="00C45CDD">
        <w:rPr>
          <w:rFonts w:ascii="Arial" w:hAnsi="Arial" w:cs="Arial"/>
          <w:sz w:val="32"/>
          <w:szCs w:val="32"/>
        </w:rPr>
        <w:t>quel</w:t>
      </w:r>
      <w:r w:rsidR="009B6A91" w:rsidRPr="00C45CDD">
        <w:rPr>
          <w:rFonts w:ascii="Arial" w:hAnsi="Arial" w:cs="Arial"/>
          <w:sz w:val="32"/>
          <w:szCs w:val="32"/>
        </w:rPr>
        <w:t>l’aspettativa ma</w:t>
      </w:r>
      <w:r w:rsidR="00FB08EB" w:rsidRPr="00C45CDD">
        <w:rPr>
          <w:rFonts w:ascii="Arial" w:hAnsi="Arial" w:cs="Arial"/>
          <w:sz w:val="32"/>
          <w:szCs w:val="32"/>
        </w:rPr>
        <w:t xml:space="preserve">turanda, </w:t>
      </w:r>
      <w:r w:rsidR="00DE6A0B" w:rsidRPr="00C45CDD">
        <w:rPr>
          <w:rFonts w:ascii="Arial" w:hAnsi="Arial" w:cs="Arial"/>
          <w:sz w:val="32"/>
          <w:szCs w:val="32"/>
        </w:rPr>
        <w:t>determinando</w:t>
      </w:r>
      <w:r w:rsidR="00FB08EB" w:rsidRPr="00C45CDD">
        <w:rPr>
          <w:rFonts w:ascii="Arial" w:hAnsi="Arial" w:cs="Arial"/>
          <w:sz w:val="32"/>
          <w:szCs w:val="32"/>
        </w:rPr>
        <w:t xml:space="preserve"> un livello</w:t>
      </w:r>
      <w:r w:rsidR="009B6A91" w:rsidRPr="00C45CDD">
        <w:rPr>
          <w:rFonts w:ascii="Arial" w:hAnsi="Arial" w:cs="Arial"/>
          <w:sz w:val="32"/>
          <w:szCs w:val="32"/>
        </w:rPr>
        <w:t xml:space="preserve"> </w:t>
      </w:r>
      <w:r w:rsidR="00FB08EB" w:rsidRPr="00C45CDD">
        <w:rPr>
          <w:rFonts w:ascii="Arial" w:hAnsi="Arial" w:cs="Arial"/>
          <w:sz w:val="32"/>
          <w:szCs w:val="32"/>
        </w:rPr>
        <w:t xml:space="preserve">del TMCG </w:t>
      </w:r>
      <w:r w:rsidRPr="00C45CDD">
        <w:rPr>
          <w:rFonts w:ascii="Arial" w:hAnsi="Arial" w:cs="Arial"/>
          <w:sz w:val="32"/>
          <w:szCs w:val="32"/>
        </w:rPr>
        <w:t>che</w:t>
      </w:r>
      <w:r w:rsidRPr="00C97A0C">
        <w:rPr>
          <w:rFonts w:ascii="Arial" w:hAnsi="Arial" w:cs="Arial"/>
          <w:sz w:val="32"/>
          <w:szCs w:val="32"/>
        </w:rPr>
        <w:t xml:space="preserve"> verrà </w:t>
      </w:r>
      <w:r w:rsidR="00DE6A0B">
        <w:rPr>
          <w:rFonts w:ascii="Arial" w:hAnsi="Arial" w:cs="Arial"/>
          <w:sz w:val="32"/>
          <w:szCs w:val="32"/>
        </w:rPr>
        <w:t>calcolato</w:t>
      </w:r>
      <w:r w:rsidR="009B6A91" w:rsidRPr="00C97A0C">
        <w:rPr>
          <w:rFonts w:ascii="Arial" w:hAnsi="Arial" w:cs="Arial"/>
          <w:sz w:val="32"/>
          <w:szCs w:val="32"/>
        </w:rPr>
        <w:t xml:space="preserve"> sulla base dei m</w:t>
      </w:r>
      <w:r w:rsidRPr="00C97A0C">
        <w:rPr>
          <w:rFonts w:ascii="Arial" w:hAnsi="Arial" w:cs="Arial"/>
          <w:sz w:val="32"/>
          <w:szCs w:val="32"/>
        </w:rPr>
        <w:t>esi di servizio maturati al 1° gennaio del 2015, secondo i</w:t>
      </w:r>
      <w:r w:rsidR="009B6A91" w:rsidRPr="00C97A0C">
        <w:rPr>
          <w:rFonts w:ascii="Arial" w:hAnsi="Arial" w:cs="Arial"/>
          <w:sz w:val="32"/>
          <w:szCs w:val="32"/>
        </w:rPr>
        <w:t xml:space="preserve">l seguente calcolo: </w:t>
      </w:r>
    </w:p>
    <w:p w:rsidR="005D3685" w:rsidRPr="00C97A0C" w:rsidRDefault="005D3685" w:rsidP="005D3685">
      <w:pPr>
        <w:pStyle w:val="Paragrafoelenco"/>
        <w:ind w:left="1440"/>
        <w:jc w:val="both"/>
        <w:rPr>
          <w:rFonts w:ascii="Arial" w:hAnsi="Arial" w:cs="Arial"/>
          <w:sz w:val="32"/>
          <w:szCs w:val="32"/>
        </w:rPr>
      </w:pPr>
    </w:p>
    <w:p w:rsidR="009B6A91" w:rsidRPr="00C97A0C" w:rsidRDefault="009B6A91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la differenza tra il primo e il secondo livello di TMCG era pari a 17.000 euro</w:t>
      </w:r>
      <w:r w:rsidR="005D3685" w:rsidRPr="00C97A0C">
        <w:rPr>
          <w:rFonts w:ascii="Arial" w:hAnsi="Arial" w:cs="Arial"/>
          <w:sz w:val="32"/>
          <w:szCs w:val="32"/>
        </w:rPr>
        <w:t xml:space="preserve"> (80.000 – 63.000 = 17.000);</w:t>
      </w:r>
    </w:p>
    <w:p w:rsidR="005D3685" w:rsidRPr="00C97A0C" w:rsidRDefault="005D3685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 i 17.000 euro di differenza sarebbero stati maturati dopo 72 mesi di servizio (6 anni);</w:t>
      </w:r>
    </w:p>
    <w:p w:rsidR="005D3685" w:rsidRPr="00C97A0C" w:rsidRDefault="005D3685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 </w:t>
      </w:r>
      <w:r w:rsidR="00B938D0" w:rsidRPr="00C97A0C">
        <w:rPr>
          <w:rFonts w:ascii="Arial" w:hAnsi="Arial" w:cs="Arial"/>
          <w:sz w:val="32"/>
          <w:szCs w:val="32"/>
        </w:rPr>
        <w:t>a</w:t>
      </w:r>
      <w:r w:rsidRPr="00C97A0C">
        <w:rPr>
          <w:rFonts w:ascii="Arial" w:hAnsi="Arial" w:cs="Arial"/>
          <w:sz w:val="32"/>
          <w:szCs w:val="32"/>
        </w:rPr>
        <w:t>l dirigente con anzianità superiore ai dodici mesi</w:t>
      </w:r>
      <w:r w:rsidR="007F3734" w:rsidRPr="00C97A0C">
        <w:rPr>
          <w:rStyle w:val="Rimandonotaapidipagina"/>
          <w:rFonts w:ascii="Arial" w:hAnsi="Arial" w:cs="Arial"/>
          <w:sz w:val="32"/>
          <w:szCs w:val="32"/>
        </w:rPr>
        <w:footnoteReference w:id="1"/>
      </w:r>
      <w:r w:rsidRPr="00C97A0C">
        <w:rPr>
          <w:rFonts w:ascii="Arial" w:hAnsi="Arial" w:cs="Arial"/>
          <w:sz w:val="32"/>
          <w:szCs w:val="32"/>
        </w:rPr>
        <w:t xml:space="preserve"> viene riconosciuto, ai fini della determinazione del suo livel</w:t>
      </w:r>
      <w:r w:rsidR="00FB08EB" w:rsidRPr="00C97A0C">
        <w:rPr>
          <w:rFonts w:ascii="Arial" w:hAnsi="Arial" w:cs="Arial"/>
          <w:sz w:val="32"/>
          <w:szCs w:val="32"/>
        </w:rPr>
        <w:t xml:space="preserve">lo di TMCG, un settantaduesimo </w:t>
      </w:r>
      <w:r w:rsidRPr="00C97A0C">
        <w:rPr>
          <w:rFonts w:ascii="Arial" w:hAnsi="Arial" w:cs="Arial"/>
          <w:sz w:val="32"/>
          <w:szCs w:val="32"/>
        </w:rPr>
        <w:t>di 17.000 euro per ciascun mese di anzianità maturata</w:t>
      </w:r>
      <w:r w:rsidR="00132462" w:rsidRPr="00C97A0C">
        <w:rPr>
          <w:rFonts w:ascii="Arial" w:hAnsi="Arial" w:cs="Arial"/>
          <w:sz w:val="32"/>
          <w:szCs w:val="32"/>
        </w:rPr>
        <w:t xml:space="preserve"> </w:t>
      </w:r>
      <w:r w:rsidR="007F3734" w:rsidRPr="00C97A0C">
        <w:rPr>
          <w:rFonts w:ascii="Arial" w:hAnsi="Arial" w:cs="Arial"/>
          <w:sz w:val="32"/>
          <w:szCs w:val="32"/>
        </w:rPr>
        <w:t>nella qualifica</w:t>
      </w:r>
      <w:r w:rsidR="00FB08EB" w:rsidRPr="00C97A0C">
        <w:rPr>
          <w:rFonts w:ascii="Arial" w:hAnsi="Arial" w:cs="Arial"/>
          <w:sz w:val="32"/>
          <w:szCs w:val="32"/>
        </w:rPr>
        <w:t xml:space="preserve"> e nell’azienda</w:t>
      </w:r>
      <w:r w:rsidR="007F3734" w:rsidRPr="00C97A0C">
        <w:rPr>
          <w:rFonts w:ascii="Arial" w:hAnsi="Arial" w:cs="Arial"/>
          <w:sz w:val="32"/>
          <w:szCs w:val="32"/>
        </w:rPr>
        <w:t xml:space="preserve">, </w:t>
      </w:r>
      <w:r w:rsidR="00132462" w:rsidRPr="00C97A0C">
        <w:rPr>
          <w:rFonts w:ascii="Arial" w:hAnsi="Arial" w:cs="Arial"/>
          <w:sz w:val="32"/>
          <w:szCs w:val="32"/>
        </w:rPr>
        <w:t>al 1° gennaio del 2015</w:t>
      </w:r>
      <w:r w:rsidRPr="00C97A0C">
        <w:rPr>
          <w:rFonts w:ascii="Arial" w:hAnsi="Arial" w:cs="Arial"/>
          <w:sz w:val="32"/>
          <w:szCs w:val="32"/>
        </w:rPr>
        <w:t>, settantaduesimo che è stato convenzionalmente arrotondato a 236 euro;</w:t>
      </w:r>
    </w:p>
    <w:p w:rsidR="005D3685" w:rsidRPr="00C97A0C" w:rsidRDefault="00B938D0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t</w:t>
      </w:r>
      <w:r w:rsidR="005D3685" w:rsidRPr="00C97A0C">
        <w:rPr>
          <w:rFonts w:ascii="Arial" w:hAnsi="Arial" w:cs="Arial"/>
          <w:sz w:val="32"/>
          <w:szCs w:val="32"/>
        </w:rPr>
        <w:t xml:space="preserve">ale importo mensile si aggiunge alla base di calcolo di 63.000 euro, ossia al primo livello di TMCG che trovava applicazione fino al 31 dicembre del 2014; </w:t>
      </w:r>
    </w:p>
    <w:p w:rsidR="00B938D0" w:rsidRPr="00C97A0C" w:rsidRDefault="00B938D0" w:rsidP="005D3685">
      <w:pPr>
        <w:pStyle w:val="Paragrafoelenco"/>
        <w:numPr>
          <w:ilvl w:val="1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n</w:t>
      </w:r>
      <w:r w:rsidR="005D3685" w:rsidRPr="00C97A0C">
        <w:rPr>
          <w:rFonts w:ascii="Arial" w:hAnsi="Arial" w:cs="Arial"/>
          <w:sz w:val="32"/>
          <w:szCs w:val="32"/>
        </w:rPr>
        <w:t>e deriva che, ad esempio, un dirigente con 32 mesi di anzianità nella qualifica</w:t>
      </w:r>
      <w:r w:rsidR="00FB08EB" w:rsidRPr="00C97A0C">
        <w:rPr>
          <w:rFonts w:ascii="Arial" w:hAnsi="Arial" w:cs="Arial"/>
          <w:sz w:val="32"/>
          <w:szCs w:val="32"/>
        </w:rPr>
        <w:t xml:space="preserve"> e nell’azienda</w:t>
      </w:r>
      <w:r w:rsidR="005D3685" w:rsidRPr="00C97A0C">
        <w:rPr>
          <w:rFonts w:ascii="Arial" w:hAnsi="Arial" w:cs="Arial"/>
          <w:sz w:val="32"/>
          <w:szCs w:val="32"/>
        </w:rPr>
        <w:t xml:space="preserve">, vedrà fissato il suo TMCG nella misura pari a </w:t>
      </w:r>
      <w:r w:rsidRPr="00C97A0C">
        <w:rPr>
          <w:rFonts w:ascii="Arial" w:hAnsi="Arial" w:cs="Arial"/>
          <w:sz w:val="32"/>
          <w:szCs w:val="32"/>
        </w:rPr>
        <w:t xml:space="preserve">70.552 euro (236 X 32 = </w:t>
      </w:r>
      <w:r w:rsidR="00C45CDD">
        <w:rPr>
          <w:rFonts w:ascii="Arial" w:hAnsi="Arial" w:cs="Arial"/>
          <w:sz w:val="32"/>
          <w:szCs w:val="32"/>
        </w:rPr>
        <w:t xml:space="preserve">7.552 </w:t>
      </w:r>
      <w:r w:rsidR="00C45CDD">
        <w:rPr>
          <w:rFonts w:ascii="Arial" w:hAnsi="Arial" w:cs="Arial"/>
          <w:sz w:val="32"/>
          <w:szCs w:val="32"/>
        </w:rPr>
        <w:lastRenderedPageBreak/>
        <w:t xml:space="preserve">Euro che, sommati ai 63.000 Euro di partenza, danno un risultato di </w:t>
      </w:r>
      <w:r w:rsidRPr="00C97A0C">
        <w:rPr>
          <w:rFonts w:ascii="Arial" w:hAnsi="Arial" w:cs="Arial"/>
          <w:sz w:val="32"/>
          <w:szCs w:val="32"/>
        </w:rPr>
        <w:t>70.552</w:t>
      </w:r>
      <w:r w:rsidR="00C45CDD">
        <w:rPr>
          <w:rFonts w:ascii="Arial" w:hAnsi="Arial" w:cs="Arial"/>
          <w:sz w:val="32"/>
          <w:szCs w:val="32"/>
        </w:rPr>
        <w:t xml:space="preserve">  Euro</w:t>
      </w:r>
      <w:r w:rsidRPr="00C97A0C">
        <w:rPr>
          <w:rFonts w:ascii="Arial" w:hAnsi="Arial" w:cs="Arial"/>
          <w:sz w:val="32"/>
          <w:szCs w:val="32"/>
        </w:rPr>
        <w:t>).</w:t>
      </w:r>
    </w:p>
    <w:p w:rsidR="00FB08EB" w:rsidRPr="00C97A0C" w:rsidRDefault="00FB08EB" w:rsidP="00FB08EB">
      <w:pPr>
        <w:pStyle w:val="Paragrafoelenco"/>
        <w:ind w:left="1440"/>
        <w:jc w:val="both"/>
        <w:rPr>
          <w:rFonts w:ascii="Arial" w:hAnsi="Arial" w:cs="Arial"/>
          <w:sz w:val="32"/>
          <w:szCs w:val="32"/>
        </w:rPr>
      </w:pPr>
    </w:p>
    <w:p w:rsidR="00B938D0" w:rsidRPr="00C97A0C" w:rsidRDefault="00B938D0" w:rsidP="00B938D0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Altri esempi sono inseriti nel testo dell’accordo.</w:t>
      </w:r>
    </w:p>
    <w:p w:rsidR="007911BD" w:rsidRPr="00C97A0C" w:rsidRDefault="007911BD" w:rsidP="00B938D0">
      <w:pPr>
        <w:jc w:val="both"/>
        <w:rPr>
          <w:rFonts w:ascii="Arial" w:hAnsi="Arial" w:cs="Arial"/>
          <w:sz w:val="32"/>
          <w:szCs w:val="32"/>
        </w:rPr>
      </w:pPr>
    </w:p>
    <w:p w:rsidR="007911BD" w:rsidRPr="00C97A0C" w:rsidRDefault="007911BD" w:rsidP="00B938D0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Nell’accordo di rinnovo viene espressamente previsto che il calcolo delle anzianità</w:t>
      </w:r>
      <w:r w:rsidR="00CE2E8B" w:rsidRPr="00C97A0C">
        <w:rPr>
          <w:rFonts w:ascii="Arial" w:hAnsi="Arial" w:cs="Arial"/>
          <w:sz w:val="32"/>
          <w:szCs w:val="32"/>
        </w:rPr>
        <w:t>, anche ai fini di cui sopra,</w:t>
      </w:r>
      <w:r w:rsidRPr="00C97A0C">
        <w:rPr>
          <w:rFonts w:ascii="Arial" w:hAnsi="Arial" w:cs="Arial"/>
          <w:sz w:val="32"/>
          <w:szCs w:val="32"/>
        </w:rPr>
        <w:t xml:space="preserve"> viene effettuato secondo il criterio di cui all’art. 26, comma 2, del </w:t>
      </w:r>
      <w:proofErr w:type="spellStart"/>
      <w:r w:rsidRPr="00C97A0C">
        <w:rPr>
          <w:rFonts w:ascii="Arial" w:hAnsi="Arial" w:cs="Arial"/>
          <w:sz w:val="32"/>
          <w:szCs w:val="32"/>
        </w:rPr>
        <w:t>ccnl</w:t>
      </w:r>
      <w:proofErr w:type="spellEnd"/>
      <w:r w:rsidRPr="00C97A0C">
        <w:rPr>
          <w:rFonts w:ascii="Arial" w:hAnsi="Arial" w:cs="Arial"/>
          <w:sz w:val="32"/>
          <w:szCs w:val="32"/>
        </w:rPr>
        <w:t>, cosicch</w:t>
      </w:r>
      <w:r w:rsidR="00AC5330" w:rsidRPr="00C97A0C">
        <w:rPr>
          <w:rFonts w:ascii="Arial" w:hAnsi="Arial" w:cs="Arial"/>
          <w:sz w:val="32"/>
          <w:szCs w:val="32"/>
        </w:rPr>
        <w:t>é</w:t>
      </w:r>
      <w:r w:rsidRPr="00C97A0C">
        <w:rPr>
          <w:rFonts w:ascii="Arial" w:hAnsi="Arial" w:cs="Arial"/>
          <w:sz w:val="32"/>
          <w:szCs w:val="32"/>
        </w:rPr>
        <w:t>, ad esempio, si maturerà il tredicesimo mese di anzianità al sedicesimo giorno successivo ai dodici mesi di anzianità.</w:t>
      </w:r>
    </w:p>
    <w:p w:rsidR="00B938D0" w:rsidRPr="00C97A0C" w:rsidRDefault="00B938D0" w:rsidP="00B938D0">
      <w:pPr>
        <w:jc w:val="both"/>
        <w:rPr>
          <w:rFonts w:ascii="Arial" w:hAnsi="Arial" w:cs="Arial"/>
          <w:sz w:val="32"/>
          <w:szCs w:val="32"/>
        </w:rPr>
      </w:pPr>
    </w:p>
    <w:p w:rsidR="00B76F4C" w:rsidRDefault="00B76F4C" w:rsidP="00B938D0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Nulla cambia invece per quanto riguarda l’applicazione del parametro retributivo costituito dal TMCG, nelle misure determinate nell’accordo di rinnovo, che andrà verificato, come sempre, al 31 dicembre di ogni anno.</w:t>
      </w:r>
      <w:r w:rsidR="00697721">
        <w:rPr>
          <w:rFonts w:ascii="Arial" w:hAnsi="Arial" w:cs="Arial"/>
          <w:sz w:val="32"/>
          <w:szCs w:val="32"/>
        </w:rPr>
        <w:t xml:space="preserve"> </w:t>
      </w:r>
      <w:r w:rsidR="00697721" w:rsidRPr="00C45CDD">
        <w:rPr>
          <w:rFonts w:ascii="Arial" w:hAnsi="Arial" w:cs="Arial"/>
          <w:sz w:val="32"/>
          <w:szCs w:val="32"/>
        </w:rPr>
        <w:t>Ne consegue che anche i livelli di TMCG riconosciuti ai dirigenti in servizio, per effetto del calcolo sopra illustrato e basato sull’anzianità di servizio, andranno verificati a fine 2015, secondo le regole già introdotte dalla contrattazione previgente.</w:t>
      </w:r>
    </w:p>
    <w:p w:rsidR="00C97A0C" w:rsidRPr="00C97A0C" w:rsidRDefault="00C97A0C" w:rsidP="00B938D0">
      <w:pPr>
        <w:jc w:val="both"/>
        <w:rPr>
          <w:rFonts w:ascii="Arial" w:hAnsi="Arial" w:cs="Arial"/>
          <w:sz w:val="32"/>
          <w:szCs w:val="32"/>
        </w:rPr>
      </w:pPr>
    </w:p>
    <w:p w:rsidR="005D3685" w:rsidRPr="00C97A0C" w:rsidRDefault="00B938D0" w:rsidP="00B938D0">
      <w:pPr>
        <w:jc w:val="both"/>
        <w:rPr>
          <w:rFonts w:ascii="Arial" w:hAnsi="Arial" w:cs="Arial"/>
          <w:b/>
          <w:sz w:val="32"/>
          <w:szCs w:val="32"/>
        </w:rPr>
      </w:pPr>
      <w:r w:rsidRPr="00C97A0C">
        <w:rPr>
          <w:rFonts w:ascii="Arial" w:hAnsi="Arial" w:cs="Arial"/>
          <w:b/>
          <w:sz w:val="32"/>
          <w:szCs w:val="32"/>
          <w:u w:val="single"/>
        </w:rPr>
        <w:t>Scatti di anzianità</w:t>
      </w:r>
      <w:r w:rsidR="005D3685" w:rsidRPr="00C97A0C">
        <w:rPr>
          <w:rFonts w:ascii="Arial" w:hAnsi="Arial" w:cs="Arial"/>
          <w:b/>
          <w:sz w:val="32"/>
          <w:szCs w:val="32"/>
        </w:rPr>
        <w:t xml:space="preserve"> </w:t>
      </w:r>
    </w:p>
    <w:p w:rsidR="00B938D0" w:rsidRPr="00C97A0C" w:rsidRDefault="00C97A0C" w:rsidP="00B938D0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Viene prorogata la</w:t>
      </w:r>
      <w:r w:rsidR="00B938D0" w:rsidRPr="00C97A0C">
        <w:rPr>
          <w:rFonts w:ascii="Arial" w:hAnsi="Arial" w:cs="Arial"/>
          <w:sz w:val="32"/>
          <w:szCs w:val="32"/>
        </w:rPr>
        <w:t xml:space="preserve"> dis</w:t>
      </w:r>
      <w:r w:rsidR="00B76F4C" w:rsidRPr="00C97A0C">
        <w:rPr>
          <w:rFonts w:ascii="Arial" w:hAnsi="Arial" w:cs="Arial"/>
          <w:sz w:val="32"/>
          <w:szCs w:val="32"/>
        </w:rPr>
        <w:t xml:space="preserve">ciplina transitoria </w:t>
      </w:r>
      <w:r w:rsidRPr="00C97A0C">
        <w:rPr>
          <w:rFonts w:ascii="Arial" w:hAnsi="Arial" w:cs="Arial"/>
          <w:sz w:val="32"/>
          <w:szCs w:val="32"/>
        </w:rPr>
        <w:t xml:space="preserve">che fu </w:t>
      </w:r>
      <w:r w:rsidR="00B76F4C" w:rsidRPr="00C97A0C">
        <w:rPr>
          <w:rFonts w:ascii="Arial" w:hAnsi="Arial" w:cs="Arial"/>
          <w:sz w:val="32"/>
          <w:szCs w:val="32"/>
        </w:rPr>
        <w:t>definita nel rinnovo del 2004, così come confermata dal rinnovo del 2009</w:t>
      </w:r>
      <w:r w:rsidRPr="00C97A0C">
        <w:rPr>
          <w:rFonts w:ascii="Arial" w:hAnsi="Arial" w:cs="Arial"/>
          <w:sz w:val="32"/>
          <w:szCs w:val="32"/>
        </w:rPr>
        <w:t xml:space="preserve">, e ciò </w:t>
      </w:r>
      <w:r w:rsidR="00B76F4C" w:rsidRPr="00C97A0C">
        <w:rPr>
          <w:rFonts w:ascii="Arial" w:hAnsi="Arial" w:cs="Arial"/>
          <w:sz w:val="32"/>
          <w:szCs w:val="32"/>
        </w:rPr>
        <w:t>fino al</w:t>
      </w:r>
      <w:r w:rsidRPr="00C97A0C">
        <w:rPr>
          <w:rFonts w:ascii="Arial" w:hAnsi="Arial" w:cs="Arial"/>
          <w:sz w:val="32"/>
          <w:szCs w:val="32"/>
        </w:rPr>
        <w:t>la scadenza del nuovo contratto, ossia fino al 31 dicembre del</w:t>
      </w:r>
      <w:r w:rsidR="00B76F4C" w:rsidRPr="00C97A0C">
        <w:rPr>
          <w:rFonts w:ascii="Arial" w:hAnsi="Arial" w:cs="Arial"/>
          <w:sz w:val="32"/>
          <w:szCs w:val="32"/>
        </w:rPr>
        <w:t xml:space="preserve"> 2018</w:t>
      </w:r>
      <w:r w:rsidR="00B938D0" w:rsidRPr="00C97A0C">
        <w:rPr>
          <w:rFonts w:ascii="Arial" w:hAnsi="Arial" w:cs="Arial"/>
          <w:sz w:val="32"/>
          <w:szCs w:val="32"/>
        </w:rPr>
        <w:t xml:space="preserve">. </w:t>
      </w:r>
    </w:p>
    <w:p w:rsidR="00B938D0" w:rsidRPr="00C97A0C" w:rsidRDefault="00B938D0" w:rsidP="00B938D0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Si richiama l’attenzione sul fatto che gli importi riconosciuti a titolo di scatti possono essere assorbiti da eventuali aumenti economici strutturali </w:t>
      </w:r>
      <w:r w:rsidR="00AD50F4" w:rsidRPr="00C45CDD">
        <w:rPr>
          <w:rFonts w:ascii="Arial" w:hAnsi="Arial" w:cs="Arial"/>
          <w:sz w:val="32"/>
          <w:szCs w:val="32"/>
        </w:rPr>
        <w:t>(ossia non una tantum)</w:t>
      </w:r>
      <w:r w:rsidR="00AD50F4">
        <w:rPr>
          <w:rFonts w:ascii="Arial" w:hAnsi="Arial" w:cs="Arial"/>
          <w:sz w:val="32"/>
          <w:szCs w:val="32"/>
        </w:rPr>
        <w:t xml:space="preserve"> </w:t>
      </w:r>
      <w:r w:rsidRPr="00C97A0C">
        <w:rPr>
          <w:rFonts w:ascii="Arial" w:hAnsi="Arial" w:cs="Arial"/>
          <w:sz w:val="32"/>
          <w:szCs w:val="32"/>
        </w:rPr>
        <w:t xml:space="preserve">riconosciuti al dirigente </w:t>
      </w:r>
      <w:r w:rsidR="00C97A0C" w:rsidRPr="00C97A0C">
        <w:rPr>
          <w:rFonts w:ascii="Arial" w:hAnsi="Arial" w:cs="Arial"/>
          <w:sz w:val="32"/>
          <w:szCs w:val="32"/>
        </w:rPr>
        <w:t xml:space="preserve">già </w:t>
      </w:r>
      <w:r w:rsidRPr="00C97A0C">
        <w:rPr>
          <w:rFonts w:ascii="Arial" w:hAnsi="Arial" w:cs="Arial"/>
          <w:sz w:val="32"/>
          <w:szCs w:val="32"/>
        </w:rPr>
        <w:t>a far data dal 2009.</w:t>
      </w:r>
    </w:p>
    <w:p w:rsidR="00B938D0" w:rsidRPr="00C97A0C" w:rsidRDefault="00B938D0" w:rsidP="00B938D0">
      <w:pPr>
        <w:jc w:val="both"/>
        <w:rPr>
          <w:rFonts w:ascii="Arial" w:hAnsi="Arial" w:cs="Arial"/>
          <w:sz w:val="32"/>
          <w:szCs w:val="32"/>
        </w:rPr>
      </w:pPr>
    </w:p>
    <w:p w:rsidR="00AD50F4" w:rsidRDefault="00AD50F4" w:rsidP="00B938D0">
      <w:pPr>
        <w:jc w:val="both"/>
        <w:rPr>
          <w:rFonts w:ascii="Arial" w:hAnsi="Arial" w:cs="Arial"/>
          <w:b/>
          <w:sz w:val="32"/>
          <w:szCs w:val="32"/>
          <w:u w:val="single"/>
        </w:rPr>
      </w:pPr>
    </w:p>
    <w:p w:rsidR="00B938D0" w:rsidRPr="00C97A0C" w:rsidRDefault="00B938D0" w:rsidP="00B938D0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 w:rsidRPr="00C97A0C">
        <w:rPr>
          <w:rFonts w:ascii="Arial" w:hAnsi="Arial" w:cs="Arial"/>
          <w:b/>
          <w:sz w:val="32"/>
          <w:szCs w:val="32"/>
          <w:u w:val="single"/>
        </w:rPr>
        <w:t>MBO</w:t>
      </w:r>
    </w:p>
    <w:p w:rsidR="00B938D0" w:rsidRPr="00C97A0C" w:rsidRDefault="00B938D0" w:rsidP="00B938D0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La nuova disciplina dell’MBO </w:t>
      </w:r>
      <w:r w:rsidR="0034549D" w:rsidRPr="00C97A0C">
        <w:rPr>
          <w:rFonts w:ascii="Arial" w:hAnsi="Arial" w:cs="Arial"/>
          <w:sz w:val="32"/>
          <w:szCs w:val="32"/>
        </w:rPr>
        <w:t>prevede che</w:t>
      </w:r>
      <w:r w:rsidR="00234E3E" w:rsidRPr="00C97A0C">
        <w:rPr>
          <w:rFonts w:ascii="Arial" w:hAnsi="Arial" w:cs="Arial"/>
          <w:sz w:val="32"/>
          <w:szCs w:val="32"/>
        </w:rPr>
        <w:t>,</w:t>
      </w:r>
      <w:r w:rsidR="0034549D" w:rsidRPr="00C97A0C">
        <w:rPr>
          <w:rFonts w:ascii="Arial" w:hAnsi="Arial" w:cs="Arial"/>
          <w:sz w:val="32"/>
          <w:szCs w:val="32"/>
        </w:rPr>
        <w:t xml:space="preserve"> qualora il trattamento economico annuo lordo del dirigente sia pari al TMCG, come sopra definito, le aziende dovranno adottare sistemi di retribuzione variabile: ne consegue che tale disp</w:t>
      </w:r>
      <w:r w:rsidR="00234E3E" w:rsidRPr="00C97A0C">
        <w:rPr>
          <w:rFonts w:ascii="Arial" w:hAnsi="Arial" w:cs="Arial"/>
          <w:sz w:val="32"/>
          <w:szCs w:val="32"/>
        </w:rPr>
        <w:t>osizione non si applica se il</w:t>
      </w:r>
      <w:r w:rsidR="0034549D" w:rsidRPr="00C97A0C">
        <w:rPr>
          <w:rFonts w:ascii="Arial" w:hAnsi="Arial" w:cs="Arial"/>
          <w:sz w:val="32"/>
          <w:szCs w:val="32"/>
        </w:rPr>
        <w:t xml:space="preserve"> trattamento economico a</w:t>
      </w:r>
      <w:r w:rsidR="00FB08EB" w:rsidRPr="00C97A0C">
        <w:rPr>
          <w:rFonts w:ascii="Arial" w:hAnsi="Arial" w:cs="Arial"/>
          <w:sz w:val="32"/>
          <w:szCs w:val="32"/>
        </w:rPr>
        <w:t>nnuo lordo del dirigente sia</w:t>
      </w:r>
      <w:r w:rsidR="0034549D" w:rsidRPr="00C97A0C">
        <w:rPr>
          <w:rFonts w:ascii="Arial" w:hAnsi="Arial" w:cs="Arial"/>
          <w:sz w:val="32"/>
          <w:szCs w:val="32"/>
        </w:rPr>
        <w:t xml:space="preserve"> superiore al TMCG di riferimento.</w:t>
      </w:r>
    </w:p>
    <w:p w:rsidR="0034549D" w:rsidRPr="00C97A0C" w:rsidRDefault="00C97A0C" w:rsidP="00B938D0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Resta sostanzialmente confermata, per il resto, la disciplina previgente.</w:t>
      </w:r>
    </w:p>
    <w:p w:rsidR="00234E3E" w:rsidRPr="00C97A0C" w:rsidRDefault="00234E3E" w:rsidP="00B938D0">
      <w:pPr>
        <w:jc w:val="both"/>
        <w:rPr>
          <w:rFonts w:ascii="Arial" w:hAnsi="Arial" w:cs="Arial"/>
          <w:sz w:val="32"/>
          <w:szCs w:val="32"/>
        </w:rPr>
      </w:pPr>
    </w:p>
    <w:p w:rsidR="0034549D" w:rsidRPr="00C97A0C" w:rsidRDefault="0034549D" w:rsidP="0034549D">
      <w:pPr>
        <w:jc w:val="both"/>
        <w:rPr>
          <w:rFonts w:ascii="Arial" w:hAnsi="Arial" w:cs="Arial"/>
          <w:b/>
          <w:sz w:val="32"/>
          <w:szCs w:val="32"/>
        </w:rPr>
      </w:pPr>
      <w:r w:rsidRPr="00C97A0C">
        <w:rPr>
          <w:rFonts w:ascii="Arial" w:hAnsi="Arial" w:cs="Arial"/>
          <w:b/>
          <w:sz w:val="32"/>
          <w:szCs w:val="32"/>
          <w:u w:val="single"/>
        </w:rPr>
        <w:t>Trasferte e missioni</w:t>
      </w:r>
      <w:r w:rsidRPr="00C97A0C">
        <w:rPr>
          <w:rFonts w:ascii="Arial" w:hAnsi="Arial" w:cs="Arial"/>
          <w:b/>
          <w:sz w:val="32"/>
          <w:szCs w:val="32"/>
        </w:rPr>
        <w:t xml:space="preserve"> </w:t>
      </w:r>
    </w:p>
    <w:p w:rsidR="0034549D" w:rsidRPr="00C97A0C" w:rsidRDefault="0034549D" w:rsidP="0034549D">
      <w:p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 xml:space="preserve">La nuova disciplina dell’istituto prevede, anzitutto, </w:t>
      </w:r>
      <w:r w:rsidR="00AD50F4" w:rsidRPr="00C45CDD">
        <w:rPr>
          <w:rFonts w:ascii="Arial" w:hAnsi="Arial" w:cs="Arial"/>
          <w:sz w:val="32"/>
          <w:szCs w:val="32"/>
        </w:rPr>
        <w:t xml:space="preserve">che eventuali </w:t>
      </w:r>
      <w:r w:rsidRPr="00C45CDD">
        <w:rPr>
          <w:rFonts w:ascii="Arial" w:hAnsi="Arial" w:cs="Arial"/>
          <w:sz w:val="32"/>
          <w:szCs w:val="32"/>
        </w:rPr>
        <w:t>intese</w:t>
      </w:r>
      <w:r w:rsidR="00AD50F4" w:rsidRPr="00C45CDD">
        <w:rPr>
          <w:rFonts w:ascii="Arial" w:hAnsi="Arial" w:cs="Arial"/>
          <w:sz w:val="32"/>
          <w:szCs w:val="32"/>
        </w:rPr>
        <w:t>,</w:t>
      </w:r>
      <w:r w:rsidRPr="00C45CDD">
        <w:rPr>
          <w:rFonts w:ascii="Arial" w:hAnsi="Arial" w:cs="Arial"/>
          <w:sz w:val="32"/>
          <w:szCs w:val="32"/>
        </w:rPr>
        <w:t xml:space="preserve"> aziendali o individuali</w:t>
      </w:r>
      <w:r w:rsidR="00AD50F4" w:rsidRPr="00C45CDD">
        <w:rPr>
          <w:rFonts w:ascii="Arial" w:hAnsi="Arial" w:cs="Arial"/>
          <w:sz w:val="32"/>
          <w:szCs w:val="32"/>
        </w:rPr>
        <w:t>, ben possono costituire la disciplina di riferimento dell’istituto: ciò significa</w:t>
      </w:r>
      <w:r w:rsidRPr="00C45CDD">
        <w:rPr>
          <w:rFonts w:ascii="Arial" w:hAnsi="Arial" w:cs="Arial"/>
          <w:sz w:val="32"/>
          <w:szCs w:val="32"/>
        </w:rPr>
        <w:t xml:space="preserve"> </w:t>
      </w:r>
      <w:r w:rsidR="00AD50F4" w:rsidRPr="00C45CDD">
        <w:rPr>
          <w:rFonts w:ascii="Arial" w:hAnsi="Arial" w:cs="Arial"/>
          <w:sz w:val="32"/>
          <w:szCs w:val="32"/>
        </w:rPr>
        <w:t xml:space="preserve">che </w:t>
      </w:r>
      <w:r w:rsidRPr="00C45CDD">
        <w:rPr>
          <w:rFonts w:ascii="Arial" w:hAnsi="Arial" w:cs="Arial"/>
          <w:sz w:val="32"/>
          <w:szCs w:val="32"/>
        </w:rPr>
        <w:t>le prassi in atto vengono “riconosciute” dal contratto</w:t>
      </w:r>
      <w:r w:rsidR="00CC67F0" w:rsidRPr="00C45CDD">
        <w:rPr>
          <w:rFonts w:ascii="Arial" w:hAnsi="Arial" w:cs="Arial"/>
          <w:sz w:val="32"/>
          <w:szCs w:val="32"/>
        </w:rPr>
        <w:t xml:space="preserve"> ma anche che sono sempre ammesse intese, sia collettive che individuali, che definiscano in modo autonomo la materia</w:t>
      </w:r>
      <w:r w:rsidRPr="00C45CDD">
        <w:rPr>
          <w:rFonts w:ascii="Arial" w:hAnsi="Arial" w:cs="Arial"/>
          <w:sz w:val="32"/>
          <w:szCs w:val="32"/>
        </w:rPr>
        <w:t>.</w:t>
      </w:r>
    </w:p>
    <w:p w:rsidR="0034549D" w:rsidRPr="00C97A0C" w:rsidRDefault="0034549D" w:rsidP="0034549D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In difetto di intese aziendali o individuali, la disciplina rimane quella previgente, c</w:t>
      </w:r>
      <w:r w:rsidR="00C97A0C">
        <w:rPr>
          <w:rFonts w:ascii="Arial" w:hAnsi="Arial" w:cs="Arial"/>
          <w:sz w:val="32"/>
          <w:szCs w:val="32"/>
        </w:rPr>
        <w:t>on una precisazione in ordine al calcolo del periodo di trasferta che da</w:t>
      </w:r>
      <w:r w:rsidRPr="00C97A0C">
        <w:rPr>
          <w:rFonts w:ascii="Arial" w:hAnsi="Arial" w:cs="Arial"/>
          <w:sz w:val="32"/>
          <w:szCs w:val="32"/>
        </w:rPr>
        <w:t xml:space="preserve"> diritto al riconoscimento dell’indennità fissa: si precisa, cioè, che l’indennità sarà riconosciuta per ogni periodo di 12 ore di</w:t>
      </w:r>
      <w:r w:rsidR="00C97A0C">
        <w:rPr>
          <w:rFonts w:ascii="Arial" w:hAnsi="Arial" w:cs="Arial"/>
          <w:sz w:val="32"/>
          <w:szCs w:val="32"/>
        </w:rPr>
        <w:t xml:space="preserve"> trasferta, nell’arco di 24 ore, da calcolarsi dal momento della</w:t>
      </w:r>
      <w:r w:rsidRPr="00C97A0C">
        <w:rPr>
          <w:rFonts w:ascii="Arial" w:hAnsi="Arial" w:cs="Arial"/>
          <w:sz w:val="32"/>
          <w:szCs w:val="32"/>
        </w:rPr>
        <w:t xml:space="preserve"> partenza del dirigente.</w:t>
      </w:r>
      <w:r w:rsidR="00C97A0C">
        <w:rPr>
          <w:rFonts w:ascii="Arial" w:hAnsi="Arial" w:cs="Arial"/>
          <w:sz w:val="32"/>
          <w:szCs w:val="32"/>
        </w:rPr>
        <w:t xml:space="preserve"> Al compiersi dell’arco delle prime 24 ore, decorrerà un secondo periodo di riferimento della stessa durata entro il quale, se il dirigente rimarrà ancora in trasferta per almeno altre 12 ore, </w:t>
      </w:r>
      <w:r w:rsidR="00705522">
        <w:rPr>
          <w:rFonts w:ascii="Arial" w:hAnsi="Arial" w:cs="Arial"/>
          <w:sz w:val="32"/>
          <w:szCs w:val="32"/>
        </w:rPr>
        <w:t>si maturerà il diritto ad una seconda indennità fissa, e così via</w:t>
      </w:r>
    </w:p>
    <w:p w:rsidR="00552507" w:rsidRPr="00C97A0C" w:rsidRDefault="00705522" w:rsidP="0034549D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Viene però</w:t>
      </w:r>
      <w:r w:rsidR="00552507" w:rsidRPr="00C97A0C">
        <w:rPr>
          <w:rFonts w:ascii="Arial" w:hAnsi="Arial" w:cs="Arial"/>
          <w:sz w:val="32"/>
          <w:szCs w:val="32"/>
        </w:rPr>
        <w:t xml:space="preserve"> meno il </w:t>
      </w:r>
      <w:r>
        <w:rPr>
          <w:rFonts w:ascii="Arial" w:hAnsi="Arial" w:cs="Arial"/>
          <w:sz w:val="32"/>
          <w:szCs w:val="32"/>
        </w:rPr>
        <w:t>“</w:t>
      </w:r>
      <w:r w:rsidR="00552507" w:rsidRPr="00C97A0C">
        <w:rPr>
          <w:rFonts w:ascii="Arial" w:hAnsi="Arial" w:cs="Arial"/>
          <w:sz w:val="32"/>
          <w:szCs w:val="32"/>
        </w:rPr>
        <w:t>tetto</w:t>
      </w:r>
      <w:r>
        <w:rPr>
          <w:rFonts w:ascii="Arial" w:hAnsi="Arial" w:cs="Arial"/>
          <w:sz w:val="32"/>
          <w:szCs w:val="32"/>
        </w:rPr>
        <w:t>”</w:t>
      </w:r>
      <w:r w:rsidR="00552507" w:rsidRPr="00C97A0C">
        <w:rPr>
          <w:rFonts w:ascii="Arial" w:hAnsi="Arial" w:cs="Arial"/>
          <w:sz w:val="32"/>
          <w:szCs w:val="32"/>
        </w:rPr>
        <w:t xml:space="preserve"> delle due settimane</w:t>
      </w:r>
      <w:r>
        <w:rPr>
          <w:rFonts w:ascii="Arial" w:hAnsi="Arial" w:cs="Arial"/>
          <w:sz w:val="32"/>
          <w:szCs w:val="32"/>
        </w:rPr>
        <w:t>, previsto dal precedente contratto</w:t>
      </w:r>
      <w:r w:rsidR="00552507" w:rsidRPr="00C97A0C">
        <w:rPr>
          <w:rFonts w:ascii="Arial" w:hAnsi="Arial" w:cs="Arial"/>
          <w:sz w:val="32"/>
          <w:szCs w:val="32"/>
        </w:rPr>
        <w:t>: pertanto le aziende, in caso di trasferte prolungate, ben potranno stabilire specifiche intese con il dirigente.</w:t>
      </w:r>
    </w:p>
    <w:p w:rsidR="00552507" w:rsidRPr="00C97A0C" w:rsidRDefault="00552507" w:rsidP="0034549D">
      <w:pPr>
        <w:jc w:val="both"/>
        <w:rPr>
          <w:rFonts w:ascii="Arial" w:hAnsi="Arial" w:cs="Arial"/>
          <w:sz w:val="32"/>
          <w:szCs w:val="32"/>
        </w:rPr>
      </w:pPr>
    </w:p>
    <w:p w:rsidR="00552507" w:rsidRPr="00705522" w:rsidRDefault="00552507" w:rsidP="00552507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 w:rsidRPr="00705522">
        <w:rPr>
          <w:rFonts w:ascii="Arial" w:hAnsi="Arial" w:cs="Arial"/>
          <w:b/>
          <w:sz w:val="32"/>
          <w:szCs w:val="32"/>
          <w:u w:val="single"/>
        </w:rPr>
        <w:t>Disciplina della risoluzione del rapporto</w:t>
      </w:r>
    </w:p>
    <w:p w:rsidR="00552507" w:rsidRPr="00C97A0C" w:rsidRDefault="00552507" w:rsidP="00552507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Anzitutto</w:t>
      </w:r>
      <w:r w:rsidR="00A07C7D" w:rsidRPr="00C97A0C">
        <w:rPr>
          <w:rFonts w:ascii="Arial" w:hAnsi="Arial" w:cs="Arial"/>
          <w:sz w:val="32"/>
          <w:szCs w:val="32"/>
        </w:rPr>
        <w:t>,</w:t>
      </w:r>
      <w:r w:rsidRPr="00C97A0C">
        <w:rPr>
          <w:rFonts w:ascii="Arial" w:hAnsi="Arial" w:cs="Arial"/>
          <w:sz w:val="32"/>
          <w:szCs w:val="32"/>
        </w:rPr>
        <w:t xml:space="preserve"> va segnalato che viene mod</w:t>
      </w:r>
      <w:r w:rsidR="00FB08EB" w:rsidRPr="00C97A0C">
        <w:rPr>
          <w:rFonts w:ascii="Arial" w:hAnsi="Arial" w:cs="Arial"/>
          <w:sz w:val="32"/>
          <w:szCs w:val="32"/>
        </w:rPr>
        <w:t>ificato l’art. 22 del</w:t>
      </w:r>
      <w:r w:rsidRPr="00C97A0C">
        <w:rPr>
          <w:rFonts w:ascii="Arial" w:hAnsi="Arial" w:cs="Arial"/>
          <w:sz w:val="32"/>
          <w:szCs w:val="32"/>
        </w:rPr>
        <w:t xml:space="preserve"> contratto</w:t>
      </w:r>
      <w:r w:rsidR="00FB08EB" w:rsidRPr="00C97A0C">
        <w:rPr>
          <w:rFonts w:ascii="Arial" w:hAnsi="Arial" w:cs="Arial"/>
          <w:sz w:val="32"/>
          <w:szCs w:val="32"/>
        </w:rPr>
        <w:t xml:space="preserve"> previgente</w:t>
      </w:r>
      <w:r w:rsidRPr="00C97A0C">
        <w:rPr>
          <w:rFonts w:ascii="Arial" w:hAnsi="Arial" w:cs="Arial"/>
          <w:sz w:val="32"/>
          <w:szCs w:val="32"/>
        </w:rPr>
        <w:t>, portando a 67 anni, sia per gli uomini che per le donne, l’età al maturare della quale il dirigente non è più assistito dalle specifiche tutele contrattuali.</w:t>
      </w:r>
    </w:p>
    <w:p w:rsidR="00552507" w:rsidRPr="00C97A0C" w:rsidRDefault="00552507" w:rsidP="00552507">
      <w:pPr>
        <w:jc w:val="both"/>
        <w:rPr>
          <w:rFonts w:ascii="Arial" w:hAnsi="Arial" w:cs="Arial"/>
          <w:sz w:val="32"/>
          <w:szCs w:val="32"/>
        </w:rPr>
      </w:pPr>
    </w:p>
    <w:p w:rsidR="00552507" w:rsidRPr="00C97A0C" w:rsidRDefault="00552507" w:rsidP="00552507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Inoltre, sono stati ridefiniti gli importi, </w:t>
      </w:r>
      <w:r w:rsidR="00E9788C">
        <w:rPr>
          <w:rFonts w:ascii="Arial" w:hAnsi="Arial" w:cs="Arial"/>
          <w:sz w:val="32"/>
          <w:szCs w:val="32"/>
        </w:rPr>
        <w:t xml:space="preserve">espressamente definiti </w:t>
      </w:r>
      <w:r w:rsidRPr="00C97A0C">
        <w:rPr>
          <w:rFonts w:ascii="Arial" w:hAnsi="Arial" w:cs="Arial"/>
          <w:sz w:val="32"/>
          <w:szCs w:val="32"/>
        </w:rPr>
        <w:t xml:space="preserve">di natura </w:t>
      </w:r>
      <w:r w:rsidR="00E9788C">
        <w:rPr>
          <w:rFonts w:ascii="Arial" w:hAnsi="Arial" w:cs="Arial"/>
          <w:sz w:val="32"/>
          <w:szCs w:val="32"/>
        </w:rPr>
        <w:t>“</w:t>
      </w:r>
      <w:r w:rsidRPr="00C97A0C">
        <w:rPr>
          <w:rFonts w:ascii="Arial" w:hAnsi="Arial" w:cs="Arial"/>
          <w:sz w:val="32"/>
          <w:szCs w:val="32"/>
        </w:rPr>
        <w:t>omnicomprensiva</w:t>
      </w:r>
      <w:r w:rsidR="00E9788C">
        <w:rPr>
          <w:rFonts w:ascii="Arial" w:hAnsi="Arial" w:cs="Arial"/>
          <w:sz w:val="32"/>
          <w:szCs w:val="32"/>
        </w:rPr>
        <w:t>” (mutuando l’espressione utilizzata nei più recenti testi di legge</w:t>
      </w:r>
      <w:r w:rsidRPr="00C97A0C">
        <w:rPr>
          <w:rFonts w:ascii="Arial" w:hAnsi="Arial" w:cs="Arial"/>
          <w:sz w:val="32"/>
          <w:szCs w:val="32"/>
        </w:rPr>
        <w:t xml:space="preserve">, </w:t>
      </w:r>
      <w:r w:rsidR="00E9788C">
        <w:rPr>
          <w:rFonts w:ascii="Arial" w:hAnsi="Arial" w:cs="Arial"/>
          <w:sz w:val="32"/>
          <w:szCs w:val="32"/>
        </w:rPr>
        <w:t xml:space="preserve">volta a far comprendere che quegli importi non possono essere ulteriormente incrementati con costi “indiretti”) </w:t>
      </w:r>
      <w:r w:rsidRPr="00C97A0C">
        <w:rPr>
          <w:rFonts w:ascii="Arial" w:hAnsi="Arial" w:cs="Arial"/>
          <w:sz w:val="32"/>
          <w:szCs w:val="32"/>
        </w:rPr>
        <w:t xml:space="preserve">dovuti in caso di licenziamento ingiustificato, nel modo seguente: </w:t>
      </w:r>
    </w:p>
    <w:p w:rsidR="00552507" w:rsidRPr="00C97A0C" w:rsidRDefault="00552507" w:rsidP="0034549D">
      <w:pPr>
        <w:jc w:val="both"/>
        <w:rPr>
          <w:rFonts w:ascii="Arial" w:hAnsi="Arial" w:cs="Arial"/>
          <w:sz w:val="32"/>
          <w:szCs w:val="32"/>
        </w:rPr>
      </w:pPr>
    </w:p>
    <w:p w:rsidR="00A35FCF" w:rsidRPr="00C97A0C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32"/>
          <w:szCs w:val="32"/>
          <w:lang w:eastAsia="en-US"/>
        </w:rPr>
      </w:pPr>
      <w:r w:rsidRPr="00C97A0C">
        <w:rPr>
          <w:rFonts w:eastAsia="Calibri" w:cs="Arial"/>
          <w:sz w:val="32"/>
          <w:szCs w:val="32"/>
          <w:lang w:eastAsia="en-US"/>
        </w:rPr>
        <w:t>fino a due anni di anzianità aziendale due mensilità pari al corrispettivo del preavviso;</w:t>
      </w:r>
    </w:p>
    <w:p w:rsidR="00A35FCF" w:rsidRPr="00C97A0C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32"/>
          <w:szCs w:val="32"/>
          <w:lang w:eastAsia="en-US"/>
        </w:rPr>
      </w:pPr>
      <w:r w:rsidRPr="00C97A0C">
        <w:rPr>
          <w:rFonts w:eastAsia="Calibri" w:cs="Arial"/>
          <w:sz w:val="32"/>
          <w:szCs w:val="32"/>
          <w:lang w:eastAsia="en-US"/>
        </w:rPr>
        <w:t xml:space="preserve"> oltre a due e sino a sei anni di anzianità aziendale, da 4 a 8 mensilità pari al corrispettivo del preavviso;</w:t>
      </w:r>
    </w:p>
    <w:p w:rsidR="00A35FCF" w:rsidRPr="00C97A0C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32"/>
          <w:szCs w:val="32"/>
          <w:lang w:eastAsia="en-US"/>
        </w:rPr>
      </w:pPr>
      <w:r w:rsidRPr="00C97A0C">
        <w:rPr>
          <w:rFonts w:eastAsia="Calibri" w:cs="Arial"/>
          <w:sz w:val="32"/>
          <w:szCs w:val="32"/>
          <w:lang w:eastAsia="en-US"/>
        </w:rPr>
        <w:t xml:space="preserve"> oltre i sei e sino a dieci anni di anzianità aziendale, da 8 a 12 mensilità pari al corrispettivo del preavviso;</w:t>
      </w:r>
    </w:p>
    <w:p w:rsidR="00A35FCF" w:rsidRPr="00C97A0C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32"/>
          <w:szCs w:val="32"/>
          <w:lang w:eastAsia="en-US"/>
        </w:rPr>
      </w:pPr>
      <w:r w:rsidRPr="00C97A0C">
        <w:rPr>
          <w:rFonts w:eastAsia="Calibri" w:cs="Arial"/>
          <w:sz w:val="32"/>
          <w:szCs w:val="32"/>
          <w:lang w:eastAsia="en-US"/>
        </w:rPr>
        <w:t>oltre i dieci e sino a quindici anni di anzianità aziendale, da 12 a 18 mensilità pari al corrispettivo del preavviso;</w:t>
      </w:r>
    </w:p>
    <w:p w:rsidR="00A35FCF" w:rsidRPr="00C97A0C" w:rsidRDefault="00A35FCF" w:rsidP="00A35FCF">
      <w:pPr>
        <w:pStyle w:val="Corpodeltesto"/>
        <w:numPr>
          <w:ilvl w:val="0"/>
          <w:numId w:val="2"/>
        </w:numPr>
        <w:rPr>
          <w:rFonts w:eastAsia="Calibri" w:cs="Arial"/>
          <w:sz w:val="32"/>
          <w:szCs w:val="32"/>
          <w:lang w:eastAsia="en-US"/>
        </w:rPr>
      </w:pPr>
      <w:r w:rsidRPr="00C97A0C">
        <w:rPr>
          <w:rFonts w:eastAsia="Calibri" w:cs="Arial"/>
          <w:sz w:val="32"/>
          <w:szCs w:val="32"/>
          <w:lang w:eastAsia="en-US"/>
        </w:rPr>
        <w:t>oltre quindici anni di anzianità aziendale, da 18 a 24 mensilità pari al corrispettivo del preavviso.</w:t>
      </w:r>
    </w:p>
    <w:p w:rsidR="00AD50F4" w:rsidRDefault="00AD50F4" w:rsidP="0034549D">
      <w:pPr>
        <w:jc w:val="both"/>
        <w:rPr>
          <w:rFonts w:ascii="Arial" w:hAnsi="Arial" w:cs="Arial"/>
          <w:sz w:val="32"/>
          <w:szCs w:val="32"/>
        </w:rPr>
      </w:pPr>
    </w:p>
    <w:p w:rsidR="00AD50F4" w:rsidRPr="00C45CDD" w:rsidRDefault="00AD50F4" w:rsidP="0034549D">
      <w:p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>Non sono, pertanto, più previste specifiche mensilità aggiuntive correlate alle specifica età del dirigente.</w:t>
      </w:r>
    </w:p>
    <w:p w:rsidR="00552507" w:rsidRPr="00C97A0C" w:rsidRDefault="00AD50F4" w:rsidP="0034549D">
      <w:p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lastRenderedPageBreak/>
        <w:t>L’espressione “pari al corrispettivo del preavviso” va, come sempre, intesa nel senso “calcolate con le stesse modalità del preavviso”.</w:t>
      </w:r>
    </w:p>
    <w:p w:rsidR="00E9788C" w:rsidRDefault="00A35FCF" w:rsidP="0034549D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Viene, infine, precisato che la disciplina dei licenziamenti individuali non è applicabile a quelli collettivi, che rimangono disciplinati in base alla legge.</w:t>
      </w:r>
      <w:r w:rsidR="00E9788C">
        <w:rPr>
          <w:rFonts w:ascii="Arial" w:hAnsi="Arial" w:cs="Arial"/>
          <w:sz w:val="32"/>
          <w:szCs w:val="32"/>
        </w:rPr>
        <w:t xml:space="preserve"> </w:t>
      </w:r>
    </w:p>
    <w:p w:rsidR="00552507" w:rsidRPr="00C97A0C" w:rsidRDefault="00E9788C" w:rsidP="0034549D">
      <w:pPr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 xml:space="preserve">Dunque, l’accordo del </w:t>
      </w:r>
      <w:r w:rsidR="00DE6DF3" w:rsidRPr="00C45CDD">
        <w:rPr>
          <w:rFonts w:ascii="Arial" w:hAnsi="Arial" w:cs="Arial"/>
          <w:sz w:val="32"/>
          <w:szCs w:val="32"/>
        </w:rPr>
        <w:t xml:space="preserve">27 aprile 1995 (sull’indennità supplementare in caso di risoluzione del rapporto per </w:t>
      </w:r>
      <w:r w:rsidR="0013716D" w:rsidRPr="00C45CDD">
        <w:rPr>
          <w:rFonts w:ascii="Arial" w:hAnsi="Arial" w:cs="Arial"/>
          <w:sz w:val="32"/>
          <w:szCs w:val="32"/>
        </w:rPr>
        <w:t>ristrutturazione, riorganizzazione, riconversione, crisi aziendale ed</w:t>
      </w:r>
      <w:r w:rsidRPr="00C45CDD">
        <w:rPr>
          <w:rFonts w:ascii="Arial" w:hAnsi="Arial" w:cs="Arial"/>
          <w:sz w:val="32"/>
          <w:szCs w:val="32"/>
        </w:rPr>
        <w:t xml:space="preserve"> </w:t>
      </w:r>
      <w:r w:rsidR="0013716D" w:rsidRPr="00C45CDD">
        <w:rPr>
          <w:rFonts w:ascii="Arial" w:hAnsi="Arial" w:cs="Arial"/>
          <w:sz w:val="32"/>
          <w:szCs w:val="32"/>
        </w:rPr>
        <w:t xml:space="preserve">altre ipotesi) </w:t>
      </w:r>
      <w:r w:rsidRPr="00C45CDD">
        <w:rPr>
          <w:rFonts w:ascii="Arial" w:hAnsi="Arial" w:cs="Arial"/>
          <w:sz w:val="32"/>
          <w:szCs w:val="32"/>
        </w:rPr>
        <w:t xml:space="preserve">oggetto di espressa disdetta nella lettera inviata da </w:t>
      </w:r>
      <w:proofErr w:type="spellStart"/>
      <w:r w:rsidRPr="00C45CDD">
        <w:rPr>
          <w:rFonts w:ascii="Arial" w:hAnsi="Arial" w:cs="Arial"/>
          <w:sz w:val="32"/>
          <w:szCs w:val="32"/>
        </w:rPr>
        <w:t>Confindindustria</w:t>
      </w:r>
      <w:proofErr w:type="spellEnd"/>
      <w:r w:rsidRPr="00C45CDD">
        <w:rPr>
          <w:rFonts w:ascii="Arial" w:hAnsi="Arial" w:cs="Arial"/>
          <w:sz w:val="32"/>
          <w:szCs w:val="32"/>
        </w:rPr>
        <w:t xml:space="preserve"> a </w:t>
      </w:r>
      <w:proofErr w:type="spellStart"/>
      <w:r w:rsidRPr="00C45CDD">
        <w:rPr>
          <w:rFonts w:ascii="Arial" w:hAnsi="Arial" w:cs="Arial"/>
          <w:sz w:val="32"/>
          <w:szCs w:val="32"/>
        </w:rPr>
        <w:t>Federmanager</w:t>
      </w:r>
      <w:proofErr w:type="spellEnd"/>
      <w:r w:rsidRPr="00C45CDD">
        <w:rPr>
          <w:rFonts w:ascii="Arial" w:hAnsi="Arial" w:cs="Arial"/>
          <w:sz w:val="32"/>
          <w:szCs w:val="32"/>
        </w:rPr>
        <w:t xml:space="preserve"> in data </w:t>
      </w:r>
      <w:r w:rsidR="00007949" w:rsidRPr="00C45CDD">
        <w:rPr>
          <w:rFonts w:ascii="Arial" w:hAnsi="Arial" w:cs="Arial"/>
          <w:sz w:val="32"/>
          <w:szCs w:val="32"/>
        </w:rPr>
        <w:t>29 ottobre 2014 (cfr. circolare del 5 novembre 2014, n. 19778)</w:t>
      </w:r>
      <w:r w:rsidRPr="00C45CDD">
        <w:rPr>
          <w:rFonts w:ascii="Arial" w:hAnsi="Arial" w:cs="Arial"/>
          <w:sz w:val="32"/>
          <w:szCs w:val="32"/>
        </w:rPr>
        <w:t>, non sarà più applicabile.</w:t>
      </w:r>
    </w:p>
    <w:p w:rsidR="00A35FCF" w:rsidRPr="00705522" w:rsidRDefault="00A35FCF" w:rsidP="00A35FCF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 w:rsidRPr="00705522">
        <w:rPr>
          <w:rFonts w:ascii="Arial" w:hAnsi="Arial" w:cs="Arial"/>
          <w:b/>
          <w:sz w:val="32"/>
          <w:szCs w:val="32"/>
          <w:u w:val="single"/>
        </w:rPr>
        <w:t>Preavviso</w:t>
      </w:r>
    </w:p>
    <w:p w:rsidR="0034549D" w:rsidRPr="00C97A0C" w:rsidRDefault="00A35FCF" w:rsidP="00B938D0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Sono stati ridefinite le durate del periodo di preavviso nel modo seguente</w:t>
      </w:r>
      <w:r w:rsidR="00340B54" w:rsidRPr="00C97A0C">
        <w:rPr>
          <w:rFonts w:ascii="Arial" w:hAnsi="Arial" w:cs="Arial"/>
          <w:sz w:val="32"/>
          <w:szCs w:val="32"/>
        </w:rPr>
        <w:t>:</w:t>
      </w:r>
    </w:p>
    <w:p w:rsidR="00234E3E" w:rsidRPr="00C97A0C" w:rsidRDefault="00234E3E" w:rsidP="00234E3E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  <w:iCs/>
          <w:sz w:val="32"/>
          <w:szCs w:val="32"/>
        </w:rPr>
      </w:pPr>
      <w:r w:rsidRPr="00C97A0C">
        <w:rPr>
          <w:rFonts w:ascii="Arial" w:eastAsia="Calibri" w:hAnsi="Arial" w:cs="Arial"/>
          <w:bCs/>
          <w:iCs/>
          <w:sz w:val="32"/>
          <w:szCs w:val="32"/>
        </w:rPr>
        <w:t>mesi 6 di preavviso per i dirigenti fino a sei anni di anzianità aziendale;</w:t>
      </w:r>
    </w:p>
    <w:p w:rsidR="00340B54" w:rsidRPr="00C97A0C" w:rsidRDefault="00340B54" w:rsidP="00340B54">
      <w:pPr>
        <w:numPr>
          <w:ilvl w:val="0"/>
          <w:numId w:val="3"/>
        </w:numPr>
        <w:spacing w:after="0"/>
        <w:ind w:hanging="357"/>
        <w:jc w:val="both"/>
        <w:rPr>
          <w:rFonts w:ascii="Arial" w:eastAsia="Calibri" w:hAnsi="Arial" w:cs="Arial"/>
          <w:bCs/>
          <w:iCs/>
          <w:sz w:val="32"/>
          <w:szCs w:val="32"/>
        </w:rPr>
      </w:pPr>
      <w:r w:rsidRPr="00C97A0C">
        <w:rPr>
          <w:rFonts w:ascii="Arial" w:eastAsia="Calibri" w:hAnsi="Arial" w:cs="Arial"/>
          <w:bCs/>
          <w:iCs/>
          <w:sz w:val="32"/>
          <w:szCs w:val="32"/>
        </w:rPr>
        <w:t>mesi 8 di preavviso per i dirigenti fino a dieci anni di anzianità aziendale;</w:t>
      </w:r>
    </w:p>
    <w:p w:rsidR="00340B54" w:rsidRPr="00C97A0C" w:rsidRDefault="00340B54" w:rsidP="00340B54">
      <w:pPr>
        <w:numPr>
          <w:ilvl w:val="0"/>
          <w:numId w:val="3"/>
        </w:numPr>
        <w:spacing w:after="0"/>
        <w:ind w:hanging="357"/>
        <w:jc w:val="both"/>
        <w:rPr>
          <w:rFonts w:ascii="Arial" w:eastAsia="Calibri" w:hAnsi="Arial" w:cs="Arial"/>
          <w:bCs/>
          <w:iCs/>
          <w:sz w:val="32"/>
          <w:szCs w:val="32"/>
        </w:rPr>
      </w:pPr>
      <w:r w:rsidRPr="00C97A0C">
        <w:rPr>
          <w:rFonts w:ascii="Arial" w:eastAsia="Calibri" w:hAnsi="Arial" w:cs="Arial"/>
          <w:bCs/>
          <w:iCs/>
          <w:sz w:val="32"/>
          <w:szCs w:val="32"/>
        </w:rPr>
        <w:t>mesi 10 di preavviso per i dirigenti fino a quindici anni di anzianità aziendale;</w:t>
      </w:r>
    </w:p>
    <w:p w:rsidR="00340B54" w:rsidRPr="00C97A0C" w:rsidRDefault="00340B54" w:rsidP="00340B54">
      <w:pPr>
        <w:numPr>
          <w:ilvl w:val="0"/>
          <w:numId w:val="3"/>
        </w:numPr>
        <w:spacing w:after="0"/>
        <w:ind w:hanging="357"/>
        <w:jc w:val="both"/>
        <w:rPr>
          <w:rFonts w:ascii="Arial" w:eastAsia="Calibri" w:hAnsi="Arial" w:cs="Arial"/>
          <w:bCs/>
          <w:iCs/>
          <w:sz w:val="32"/>
          <w:szCs w:val="32"/>
        </w:rPr>
      </w:pPr>
      <w:r w:rsidRPr="00C97A0C">
        <w:rPr>
          <w:rFonts w:ascii="Arial" w:eastAsia="Calibri" w:hAnsi="Arial" w:cs="Arial"/>
          <w:bCs/>
          <w:iCs/>
          <w:sz w:val="32"/>
          <w:szCs w:val="32"/>
        </w:rPr>
        <w:t>mesi 12 di preavviso per i dirigenti oltre quindici anni di anzianità aziendale.</w:t>
      </w:r>
    </w:p>
    <w:p w:rsidR="00234E3E" w:rsidRPr="00C97A0C" w:rsidRDefault="00234E3E" w:rsidP="00234E3E">
      <w:pPr>
        <w:spacing w:after="0"/>
        <w:jc w:val="both"/>
        <w:rPr>
          <w:rFonts w:ascii="Arial" w:eastAsia="Calibri" w:hAnsi="Arial" w:cs="Arial"/>
          <w:bCs/>
          <w:iCs/>
          <w:sz w:val="32"/>
          <w:szCs w:val="32"/>
        </w:rPr>
      </w:pPr>
    </w:p>
    <w:p w:rsidR="00340B54" w:rsidRPr="00E9788C" w:rsidRDefault="00340B54" w:rsidP="00340B54">
      <w:pPr>
        <w:ind w:left="505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E9788C">
        <w:rPr>
          <w:rFonts w:ascii="Arial" w:hAnsi="Arial" w:cs="Arial"/>
          <w:b/>
          <w:sz w:val="32"/>
          <w:szCs w:val="32"/>
          <w:u w:val="single"/>
        </w:rPr>
        <w:t>GSR/FASI</w:t>
      </w:r>
    </w:p>
    <w:p w:rsidR="00340B54" w:rsidRPr="00C97A0C" w:rsidRDefault="00340B54" w:rsidP="00340B54">
      <w:pPr>
        <w:ind w:left="505"/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Anzitutto va segnalato che, a far data dal 1° gennaio del 2015, viene definitivamente meno la previgente disciplina del GSR/FASI per quanto attiene al sostegno al reddito dei dirigenti licenziati.</w:t>
      </w:r>
    </w:p>
    <w:p w:rsidR="00340B54" w:rsidRPr="00C97A0C" w:rsidRDefault="00340B54" w:rsidP="00340B54">
      <w:pPr>
        <w:ind w:left="505"/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lastRenderedPageBreak/>
        <w:t xml:space="preserve">Nel contempo, viene previsto il mantenimento del versamento, a carico delle imprese, di Euro 100 per ciascun dirigente in servizio, anche al fine di finanziare le </w:t>
      </w:r>
      <w:r w:rsidRPr="00C97A0C">
        <w:rPr>
          <w:rFonts w:ascii="Arial" w:eastAsia="Calibri" w:hAnsi="Arial" w:cs="Arial"/>
          <w:sz w:val="32"/>
          <w:szCs w:val="32"/>
        </w:rPr>
        <w:t>prestazioni dovute ai dirigenti che, licenzi</w:t>
      </w:r>
      <w:r w:rsidR="007C72E8" w:rsidRPr="00C97A0C">
        <w:rPr>
          <w:rFonts w:ascii="Arial" w:hAnsi="Arial" w:cs="Arial"/>
          <w:sz w:val="32"/>
          <w:szCs w:val="32"/>
        </w:rPr>
        <w:t xml:space="preserve">ati entro il 31 dicembre 2014, </w:t>
      </w:r>
      <w:r w:rsidRPr="00C97A0C">
        <w:rPr>
          <w:rFonts w:ascii="Arial" w:eastAsia="Calibri" w:hAnsi="Arial" w:cs="Arial"/>
          <w:sz w:val="32"/>
          <w:szCs w:val="32"/>
        </w:rPr>
        <w:t xml:space="preserve">presenteranno la domanda </w:t>
      </w:r>
      <w:r w:rsidR="007C72E8" w:rsidRPr="00C97A0C">
        <w:rPr>
          <w:rFonts w:ascii="Arial" w:hAnsi="Arial" w:cs="Arial"/>
          <w:sz w:val="32"/>
          <w:szCs w:val="32"/>
        </w:rPr>
        <w:t xml:space="preserve">di sostegno al reddito </w:t>
      </w:r>
      <w:r w:rsidRPr="00C97A0C">
        <w:rPr>
          <w:rFonts w:ascii="Arial" w:eastAsia="Calibri" w:hAnsi="Arial" w:cs="Arial"/>
          <w:sz w:val="32"/>
          <w:szCs w:val="32"/>
        </w:rPr>
        <w:t>entro il 31 gennaio 2015, ancorché in decorrenza del preavviso</w:t>
      </w:r>
      <w:r w:rsidR="00AD50F4">
        <w:rPr>
          <w:rFonts w:ascii="Arial" w:hAnsi="Arial" w:cs="Arial"/>
          <w:sz w:val="32"/>
          <w:szCs w:val="32"/>
        </w:rPr>
        <w:t xml:space="preserve">: </w:t>
      </w:r>
      <w:r w:rsidR="00AD50F4" w:rsidRPr="00C45CDD">
        <w:rPr>
          <w:rFonts w:ascii="Arial" w:hAnsi="Arial" w:cs="Arial"/>
          <w:sz w:val="32"/>
          <w:szCs w:val="32"/>
        </w:rPr>
        <w:t>questa è l’unica disposizione “transitoria” pattuita a ragione della defin</w:t>
      </w:r>
      <w:r w:rsidR="00952326" w:rsidRPr="00C45CDD">
        <w:rPr>
          <w:rFonts w:ascii="Arial" w:hAnsi="Arial" w:cs="Arial"/>
          <w:sz w:val="32"/>
          <w:szCs w:val="32"/>
        </w:rPr>
        <w:t>i</w:t>
      </w:r>
      <w:r w:rsidR="00AD50F4" w:rsidRPr="00C45CDD">
        <w:rPr>
          <w:rFonts w:ascii="Arial" w:hAnsi="Arial" w:cs="Arial"/>
          <w:sz w:val="32"/>
          <w:szCs w:val="32"/>
        </w:rPr>
        <w:t>tiva</w:t>
      </w:r>
      <w:r w:rsidR="00952326" w:rsidRPr="00C45CDD">
        <w:rPr>
          <w:rFonts w:ascii="Arial" w:hAnsi="Arial" w:cs="Arial"/>
          <w:sz w:val="32"/>
          <w:szCs w:val="32"/>
        </w:rPr>
        <w:t xml:space="preserve"> cessazione, a far data dal 1° gennaio 2015, della previgente disciplina.</w:t>
      </w:r>
      <w:r w:rsidR="00952326">
        <w:rPr>
          <w:rFonts w:ascii="Arial" w:hAnsi="Arial" w:cs="Arial"/>
          <w:sz w:val="32"/>
          <w:szCs w:val="32"/>
        </w:rPr>
        <w:t xml:space="preserve"> </w:t>
      </w:r>
    </w:p>
    <w:p w:rsidR="00101DFF" w:rsidRPr="00C97A0C" w:rsidRDefault="007C72E8" w:rsidP="00340B54">
      <w:pPr>
        <w:ind w:left="505"/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Dal 2016 il contributo aziendale è elevato a Euro 200</w:t>
      </w:r>
      <w:r w:rsidR="00101DFF" w:rsidRPr="00C97A0C">
        <w:rPr>
          <w:rFonts w:ascii="Arial" w:hAnsi="Arial" w:cs="Arial"/>
          <w:sz w:val="32"/>
          <w:szCs w:val="32"/>
        </w:rPr>
        <w:t>.</w:t>
      </w:r>
      <w:r w:rsidR="00391490" w:rsidRPr="00C97A0C">
        <w:rPr>
          <w:rFonts w:ascii="Arial" w:hAnsi="Arial" w:cs="Arial"/>
          <w:sz w:val="32"/>
          <w:szCs w:val="32"/>
        </w:rPr>
        <w:t xml:space="preserve"> Se le parti riterranno necessario reperire ulteriori risorse potrà essere chiesto un contributo al dirigente in servizio di ammontare non superiore al 50% del contributo dovuto dal datore di lavoro.</w:t>
      </w:r>
    </w:p>
    <w:p w:rsidR="007C72E8" w:rsidRPr="00C97A0C" w:rsidRDefault="00101DFF" w:rsidP="00340B54">
      <w:pPr>
        <w:ind w:left="505"/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Le nuove prestazioni erogate dal GSR/FASI</w:t>
      </w:r>
      <w:r w:rsidR="007C72E8" w:rsidRPr="00C97A0C">
        <w:rPr>
          <w:rFonts w:ascii="Arial" w:hAnsi="Arial" w:cs="Arial"/>
          <w:sz w:val="32"/>
          <w:szCs w:val="32"/>
        </w:rPr>
        <w:t>, per un periodo non superiore a 12 mesi, a favore di dirigenti licenziati che non abbiano maturato il diritto ad una prestazione pensionistica</w:t>
      </w:r>
      <w:r w:rsidRPr="00C97A0C">
        <w:rPr>
          <w:rFonts w:ascii="Arial" w:hAnsi="Arial" w:cs="Arial"/>
          <w:sz w:val="32"/>
          <w:szCs w:val="32"/>
        </w:rPr>
        <w:t>, saranno le seguenti</w:t>
      </w:r>
      <w:r w:rsidR="007C72E8" w:rsidRPr="00C97A0C">
        <w:rPr>
          <w:rFonts w:ascii="Arial" w:hAnsi="Arial" w:cs="Arial"/>
          <w:sz w:val="32"/>
          <w:szCs w:val="32"/>
        </w:rPr>
        <w:t>:</w:t>
      </w:r>
    </w:p>
    <w:p w:rsidR="007C72E8" w:rsidRPr="00C97A0C" w:rsidRDefault="00E81C9F" w:rsidP="007C72E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copertura sanitaria F</w:t>
      </w:r>
      <w:r w:rsidR="007C72E8" w:rsidRPr="00C97A0C">
        <w:rPr>
          <w:rFonts w:ascii="Arial" w:hAnsi="Arial" w:cs="Arial"/>
          <w:sz w:val="32"/>
          <w:szCs w:val="32"/>
        </w:rPr>
        <w:t>asi e integrativa Fasi;</w:t>
      </w:r>
    </w:p>
    <w:p w:rsidR="007C72E8" w:rsidRPr="00C97A0C" w:rsidRDefault="007C72E8" w:rsidP="007C72E8">
      <w:pPr>
        <w:pStyle w:val="Paragrafoelenco"/>
        <w:jc w:val="both"/>
        <w:rPr>
          <w:rFonts w:ascii="Arial" w:hAnsi="Arial" w:cs="Arial"/>
          <w:sz w:val="32"/>
          <w:szCs w:val="32"/>
        </w:rPr>
      </w:pPr>
    </w:p>
    <w:p w:rsidR="007C72E8" w:rsidRPr="00C97A0C" w:rsidRDefault="007C72E8" w:rsidP="007C72E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copertura assicurativa per</w:t>
      </w:r>
      <w:r w:rsidR="007755E3" w:rsidRPr="00C97A0C">
        <w:rPr>
          <w:rFonts w:ascii="Arial" w:hAnsi="Arial" w:cs="Arial"/>
          <w:sz w:val="32"/>
          <w:szCs w:val="32"/>
        </w:rPr>
        <w:t xml:space="preserve"> morte o invalidità permanente </w:t>
      </w:r>
      <w:r w:rsidR="007755E3" w:rsidRPr="00C97A0C">
        <w:rPr>
          <w:rFonts w:ascii="Arial" w:eastAsia="Calibri" w:hAnsi="Arial" w:cs="Arial"/>
          <w:sz w:val="32"/>
          <w:szCs w:val="32"/>
        </w:rPr>
        <w:t>(tale da ridurre in misura superiore ai 2/3 la capacità lavorativa specifica del dirigente), per una somma non superiore</w:t>
      </w:r>
      <w:r w:rsidR="007755E3" w:rsidRPr="00C97A0C">
        <w:rPr>
          <w:rFonts w:ascii="Arial" w:hAnsi="Arial" w:cs="Arial"/>
          <w:sz w:val="32"/>
          <w:szCs w:val="32"/>
        </w:rPr>
        <w:t>, in prima applicazione,</w:t>
      </w:r>
      <w:r w:rsidR="007755E3" w:rsidRPr="00C97A0C">
        <w:rPr>
          <w:rFonts w:ascii="Arial" w:eastAsia="Calibri" w:hAnsi="Arial" w:cs="Arial"/>
          <w:sz w:val="32"/>
          <w:szCs w:val="32"/>
        </w:rPr>
        <w:t xml:space="preserve"> a 100.000 euro</w:t>
      </w:r>
      <w:r w:rsidR="007755E3" w:rsidRPr="00C97A0C">
        <w:rPr>
          <w:rFonts w:ascii="Arial" w:hAnsi="Arial" w:cs="Arial"/>
          <w:sz w:val="32"/>
          <w:szCs w:val="32"/>
        </w:rPr>
        <w:t>;</w:t>
      </w:r>
    </w:p>
    <w:p w:rsidR="007755E3" w:rsidRPr="00C97A0C" w:rsidRDefault="007755E3" w:rsidP="007755E3">
      <w:pPr>
        <w:pStyle w:val="Paragrafoelenco"/>
        <w:rPr>
          <w:rFonts w:ascii="Arial" w:hAnsi="Arial" w:cs="Arial"/>
          <w:sz w:val="32"/>
          <w:szCs w:val="32"/>
        </w:rPr>
      </w:pPr>
    </w:p>
    <w:p w:rsidR="007755E3" w:rsidRPr="00C97A0C" w:rsidRDefault="007755E3" w:rsidP="007C72E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eastAsia="Calibri" w:hAnsi="Arial" w:cs="Arial"/>
          <w:sz w:val="32"/>
          <w:szCs w:val="32"/>
        </w:rPr>
        <w:t xml:space="preserve"> iniziative di politiche attive, nonché di orientamento</w:t>
      </w:r>
      <w:r w:rsidR="00391490" w:rsidRPr="00C97A0C">
        <w:rPr>
          <w:rFonts w:ascii="Arial" w:eastAsia="Calibri" w:hAnsi="Arial" w:cs="Arial"/>
          <w:sz w:val="32"/>
          <w:szCs w:val="32"/>
        </w:rPr>
        <w:t>,</w:t>
      </w:r>
      <w:r w:rsidRPr="00C97A0C">
        <w:rPr>
          <w:rFonts w:ascii="Arial" w:eastAsia="Calibri" w:hAnsi="Arial" w:cs="Arial"/>
          <w:sz w:val="32"/>
          <w:szCs w:val="32"/>
        </w:rPr>
        <w:t xml:space="preserve"> formazione </w:t>
      </w:r>
      <w:r w:rsidR="00391490" w:rsidRPr="00C97A0C">
        <w:rPr>
          <w:rFonts w:ascii="Arial" w:eastAsia="Calibri" w:hAnsi="Arial" w:cs="Arial"/>
          <w:sz w:val="32"/>
          <w:szCs w:val="32"/>
        </w:rPr>
        <w:t xml:space="preserve">e </w:t>
      </w:r>
      <w:proofErr w:type="spellStart"/>
      <w:r w:rsidR="00391490" w:rsidRPr="00C97A0C">
        <w:rPr>
          <w:rFonts w:ascii="Arial" w:eastAsia="Calibri" w:hAnsi="Arial" w:cs="Arial"/>
          <w:sz w:val="32"/>
          <w:szCs w:val="32"/>
        </w:rPr>
        <w:t>placement</w:t>
      </w:r>
      <w:proofErr w:type="spellEnd"/>
      <w:r w:rsidR="00391490" w:rsidRPr="00C97A0C">
        <w:rPr>
          <w:rFonts w:ascii="Arial" w:eastAsia="Calibri" w:hAnsi="Arial" w:cs="Arial"/>
          <w:sz w:val="32"/>
          <w:szCs w:val="32"/>
        </w:rPr>
        <w:t xml:space="preserve"> </w:t>
      </w:r>
      <w:r w:rsidRPr="00C97A0C">
        <w:rPr>
          <w:rFonts w:ascii="Arial" w:eastAsia="Calibri" w:hAnsi="Arial" w:cs="Arial"/>
          <w:sz w:val="32"/>
          <w:szCs w:val="32"/>
        </w:rPr>
        <w:t xml:space="preserve">anche in coerenza con le modifiche legislative che dovessero intervenire in materia, da sostenere in una logica di </w:t>
      </w:r>
      <w:proofErr w:type="spellStart"/>
      <w:r w:rsidRPr="00C97A0C">
        <w:rPr>
          <w:rFonts w:ascii="Arial" w:eastAsia="Calibri" w:hAnsi="Arial" w:cs="Arial"/>
          <w:sz w:val="32"/>
          <w:szCs w:val="32"/>
        </w:rPr>
        <w:t>premialità</w:t>
      </w:r>
      <w:proofErr w:type="spellEnd"/>
      <w:r w:rsidRPr="00C97A0C">
        <w:rPr>
          <w:rFonts w:ascii="Arial" w:eastAsia="Calibri" w:hAnsi="Arial" w:cs="Arial"/>
          <w:sz w:val="32"/>
          <w:szCs w:val="32"/>
        </w:rPr>
        <w:t xml:space="preserve"> “a risultato</w:t>
      </w:r>
      <w:r w:rsidRPr="00C97A0C">
        <w:rPr>
          <w:rFonts w:ascii="Arial" w:hAnsi="Arial" w:cs="Arial"/>
          <w:sz w:val="32"/>
          <w:szCs w:val="32"/>
        </w:rPr>
        <w:t>”.</w:t>
      </w:r>
    </w:p>
    <w:p w:rsidR="007C72E8" w:rsidRPr="00C97A0C" w:rsidRDefault="00952326" w:rsidP="00340B54">
      <w:pPr>
        <w:ind w:left="505"/>
        <w:jc w:val="both"/>
        <w:rPr>
          <w:rFonts w:ascii="Arial" w:hAnsi="Arial" w:cs="Arial"/>
          <w:sz w:val="32"/>
          <w:szCs w:val="32"/>
        </w:rPr>
      </w:pPr>
      <w:r w:rsidRPr="00C45CDD">
        <w:rPr>
          <w:rFonts w:ascii="Arial" w:hAnsi="Arial" w:cs="Arial"/>
          <w:sz w:val="32"/>
          <w:szCs w:val="32"/>
        </w:rPr>
        <w:t>Tutte queste prestazioni non sono, però, immediatamente operative, posto che andranno attuate dal FASI.</w:t>
      </w:r>
    </w:p>
    <w:p w:rsidR="00EA3265" w:rsidRDefault="00EA3265" w:rsidP="00273E5C">
      <w:pPr>
        <w:ind w:left="505"/>
        <w:jc w:val="both"/>
        <w:rPr>
          <w:rFonts w:ascii="Arial" w:hAnsi="Arial" w:cs="Arial"/>
          <w:b/>
          <w:sz w:val="32"/>
          <w:szCs w:val="32"/>
          <w:u w:val="single"/>
        </w:rPr>
      </w:pPr>
    </w:p>
    <w:p w:rsidR="00273E5C" w:rsidRPr="00C35C03" w:rsidRDefault="00273E5C" w:rsidP="00273E5C">
      <w:pPr>
        <w:ind w:left="505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C35C03">
        <w:rPr>
          <w:rFonts w:ascii="Arial" w:hAnsi="Arial" w:cs="Arial"/>
          <w:b/>
          <w:sz w:val="32"/>
          <w:szCs w:val="32"/>
          <w:u w:val="single"/>
        </w:rPr>
        <w:lastRenderedPageBreak/>
        <w:t>FASI</w:t>
      </w:r>
    </w:p>
    <w:p w:rsidR="00EC765F" w:rsidRPr="00C97A0C" w:rsidRDefault="00EC765F" w:rsidP="001636F6">
      <w:pPr>
        <w:ind w:left="720"/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Gli andamenti non positivi degli ultimi bilanci ha</w:t>
      </w:r>
      <w:r w:rsidR="001636F6" w:rsidRPr="00C97A0C">
        <w:rPr>
          <w:rFonts w:ascii="Arial" w:hAnsi="Arial" w:cs="Arial"/>
          <w:sz w:val="32"/>
          <w:szCs w:val="32"/>
        </w:rPr>
        <w:t xml:space="preserve">nno indotto le parti contraenti sia a </w:t>
      </w:r>
      <w:r w:rsidRPr="00C97A0C">
        <w:rPr>
          <w:rFonts w:ascii="Arial" w:hAnsi="Arial" w:cs="Arial"/>
          <w:sz w:val="32"/>
          <w:szCs w:val="32"/>
        </w:rPr>
        <w:t>conferire al Consiglio di Amministrazione del Fondo una mag</w:t>
      </w:r>
      <w:r w:rsidR="001636F6" w:rsidRPr="00C97A0C">
        <w:rPr>
          <w:rFonts w:ascii="Arial" w:hAnsi="Arial" w:cs="Arial"/>
          <w:sz w:val="32"/>
          <w:szCs w:val="32"/>
        </w:rPr>
        <w:t>giore responsabilità gestionale</w:t>
      </w:r>
      <w:r w:rsidRPr="00C97A0C">
        <w:rPr>
          <w:rFonts w:ascii="Arial" w:hAnsi="Arial" w:cs="Arial"/>
          <w:sz w:val="32"/>
          <w:szCs w:val="32"/>
        </w:rPr>
        <w:t xml:space="preserve"> </w:t>
      </w:r>
      <w:r w:rsidR="001636F6" w:rsidRPr="00C97A0C">
        <w:rPr>
          <w:rFonts w:ascii="Arial" w:hAnsi="Arial" w:cs="Arial"/>
          <w:sz w:val="32"/>
          <w:szCs w:val="32"/>
        </w:rPr>
        <w:t>(</w:t>
      </w:r>
      <w:r w:rsidRPr="00C97A0C">
        <w:rPr>
          <w:rFonts w:ascii="Arial" w:hAnsi="Arial" w:cs="Arial"/>
          <w:sz w:val="32"/>
          <w:szCs w:val="32"/>
        </w:rPr>
        <w:t>con l’obiettivo di perseguire l’equilibrio finanziario del Fondo</w:t>
      </w:r>
      <w:r w:rsidR="001636F6" w:rsidRPr="00C97A0C">
        <w:rPr>
          <w:rFonts w:ascii="Arial" w:hAnsi="Arial" w:cs="Arial"/>
          <w:sz w:val="32"/>
          <w:szCs w:val="32"/>
        </w:rPr>
        <w:t xml:space="preserve">) sia </w:t>
      </w:r>
      <w:r w:rsidRPr="00C97A0C">
        <w:rPr>
          <w:rFonts w:ascii="Arial" w:hAnsi="Arial" w:cs="Arial"/>
          <w:sz w:val="32"/>
          <w:szCs w:val="32"/>
        </w:rPr>
        <w:t>a riveder</w:t>
      </w:r>
      <w:r w:rsidR="003E183F">
        <w:rPr>
          <w:rFonts w:ascii="Arial" w:hAnsi="Arial" w:cs="Arial"/>
          <w:sz w:val="32"/>
          <w:szCs w:val="32"/>
        </w:rPr>
        <w:t xml:space="preserve">ne la </w:t>
      </w:r>
      <w:proofErr w:type="spellStart"/>
      <w:r w:rsidR="003E183F">
        <w:rPr>
          <w:rFonts w:ascii="Arial" w:hAnsi="Arial" w:cs="Arial"/>
          <w:sz w:val="32"/>
          <w:szCs w:val="32"/>
        </w:rPr>
        <w:t>governanc</w:t>
      </w:r>
      <w:r w:rsidR="001636F6" w:rsidRPr="00C97A0C">
        <w:rPr>
          <w:rFonts w:ascii="Arial" w:hAnsi="Arial" w:cs="Arial"/>
          <w:sz w:val="32"/>
          <w:szCs w:val="32"/>
        </w:rPr>
        <w:t>e</w:t>
      </w:r>
      <w:proofErr w:type="spellEnd"/>
      <w:r w:rsidR="001636F6" w:rsidRPr="00C97A0C">
        <w:rPr>
          <w:rFonts w:ascii="Arial" w:hAnsi="Arial" w:cs="Arial"/>
          <w:sz w:val="32"/>
          <w:szCs w:val="32"/>
        </w:rPr>
        <w:t>,</w:t>
      </w:r>
      <w:r w:rsidRPr="00C97A0C">
        <w:rPr>
          <w:rFonts w:ascii="Arial" w:hAnsi="Arial" w:cs="Arial"/>
          <w:sz w:val="32"/>
          <w:szCs w:val="32"/>
        </w:rPr>
        <w:t xml:space="preserve"> introducendo l’organo assembleare</w:t>
      </w:r>
      <w:r w:rsidR="001636F6" w:rsidRPr="00C97A0C">
        <w:rPr>
          <w:rFonts w:ascii="Arial" w:hAnsi="Arial" w:cs="Arial"/>
          <w:sz w:val="32"/>
          <w:szCs w:val="32"/>
        </w:rPr>
        <w:t>,</w:t>
      </w:r>
      <w:r w:rsidRPr="00C97A0C">
        <w:rPr>
          <w:rFonts w:ascii="Arial" w:hAnsi="Arial" w:cs="Arial"/>
          <w:sz w:val="32"/>
          <w:szCs w:val="32"/>
        </w:rPr>
        <w:t xml:space="preserve"> costituito pariteticamente</w:t>
      </w:r>
      <w:r w:rsidR="001636F6" w:rsidRPr="00C97A0C">
        <w:rPr>
          <w:rFonts w:ascii="Arial" w:hAnsi="Arial" w:cs="Arial"/>
          <w:sz w:val="32"/>
          <w:szCs w:val="32"/>
        </w:rPr>
        <w:t xml:space="preserve"> dai rappresentanti delle parti</w:t>
      </w:r>
      <w:r w:rsidRPr="00C97A0C">
        <w:rPr>
          <w:rFonts w:ascii="Arial" w:hAnsi="Arial" w:cs="Arial"/>
          <w:sz w:val="32"/>
          <w:szCs w:val="32"/>
        </w:rPr>
        <w:t>.</w:t>
      </w:r>
    </w:p>
    <w:p w:rsidR="00EC765F" w:rsidRPr="00C97A0C" w:rsidRDefault="00EC765F" w:rsidP="00DA3996">
      <w:pPr>
        <w:ind w:left="708"/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E così, vengono stabiliti </w:t>
      </w:r>
      <w:r w:rsidR="001636F6" w:rsidRPr="00C97A0C">
        <w:rPr>
          <w:rFonts w:ascii="Arial" w:hAnsi="Arial" w:cs="Arial"/>
          <w:sz w:val="32"/>
          <w:szCs w:val="32"/>
        </w:rPr>
        <w:t xml:space="preserve">direttamente </w:t>
      </w:r>
      <w:r w:rsidRPr="00C97A0C">
        <w:rPr>
          <w:rFonts w:ascii="Arial" w:hAnsi="Arial" w:cs="Arial"/>
          <w:sz w:val="32"/>
          <w:szCs w:val="32"/>
        </w:rPr>
        <w:t>dal contratto collettivo, ma solo per l’anno 2015, gli aumenti di quote contributive a far data dal 1° gennaio 2015, come da tabella seguente: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1967"/>
      </w:tblGrid>
      <w:tr w:rsidR="00EC765F" w:rsidRPr="00C97A0C" w:rsidTr="000764DC">
        <w:trPr>
          <w:jc w:val="center"/>
        </w:trPr>
        <w:tc>
          <w:tcPr>
            <w:tcW w:w="3259" w:type="dxa"/>
            <w:vAlign w:val="center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CONTRIBUTO</w:t>
            </w:r>
          </w:p>
        </w:tc>
        <w:tc>
          <w:tcPr>
            <w:tcW w:w="1811" w:type="dxa"/>
            <w:vAlign w:val="center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Importi annuali</w:t>
            </w:r>
          </w:p>
        </w:tc>
      </w:tr>
      <w:tr w:rsidR="00EC765F" w:rsidRPr="00C97A0C" w:rsidTr="000764DC">
        <w:trPr>
          <w:jc w:val="center"/>
        </w:trPr>
        <w:tc>
          <w:tcPr>
            <w:tcW w:w="3259" w:type="dxa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Art. G forza aziendale</w:t>
            </w:r>
          </w:p>
        </w:tc>
        <w:tc>
          <w:tcPr>
            <w:tcW w:w="1811" w:type="dxa"/>
            <w:vAlign w:val="center"/>
          </w:tcPr>
          <w:p w:rsidR="00EC765F" w:rsidRPr="00C97A0C" w:rsidRDefault="00C35C03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1.272</w:t>
            </w:r>
            <w:r w:rsidR="00EC765F" w:rsidRPr="00C97A0C">
              <w:rPr>
                <w:rFonts w:ascii="Arial" w:hAnsi="Arial" w:cs="Arial"/>
                <w:sz w:val="32"/>
                <w:szCs w:val="32"/>
              </w:rPr>
              <w:t>,00</w:t>
            </w:r>
          </w:p>
        </w:tc>
      </w:tr>
      <w:tr w:rsidR="00EC765F" w:rsidRPr="00C97A0C" w:rsidTr="000764DC">
        <w:trPr>
          <w:jc w:val="center"/>
        </w:trPr>
        <w:tc>
          <w:tcPr>
            <w:tcW w:w="3259" w:type="dxa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Art. H pensionati</w:t>
            </w:r>
          </w:p>
        </w:tc>
        <w:tc>
          <w:tcPr>
            <w:tcW w:w="1811" w:type="dxa"/>
            <w:vAlign w:val="center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1.152,00</w:t>
            </w:r>
          </w:p>
        </w:tc>
      </w:tr>
      <w:tr w:rsidR="00EC765F" w:rsidRPr="00C97A0C" w:rsidTr="000764DC">
        <w:trPr>
          <w:jc w:val="center"/>
        </w:trPr>
        <w:tc>
          <w:tcPr>
            <w:tcW w:w="3259" w:type="dxa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Art. F aziende per dirigenti in servizio iscritti</w:t>
            </w:r>
          </w:p>
        </w:tc>
        <w:tc>
          <w:tcPr>
            <w:tcW w:w="1811" w:type="dxa"/>
            <w:vAlign w:val="center"/>
          </w:tcPr>
          <w:p w:rsidR="00EC765F" w:rsidRPr="00C97A0C" w:rsidRDefault="00C35C03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1.872</w:t>
            </w:r>
            <w:r w:rsidR="00EC765F" w:rsidRPr="00C97A0C">
              <w:rPr>
                <w:rFonts w:ascii="Arial" w:hAnsi="Arial" w:cs="Arial"/>
                <w:sz w:val="32"/>
                <w:szCs w:val="32"/>
              </w:rPr>
              <w:t>,00</w:t>
            </w:r>
          </w:p>
        </w:tc>
      </w:tr>
      <w:tr w:rsidR="00EC765F" w:rsidRPr="00C97A0C" w:rsidTr="000764DC">
        <w:trPr>
          <w:jc w:val="center"/>
        </w:trPr>
        <w:tc>
          <w:tcPr>
            <w:tcW w:w="3259" w:type="dxa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Art. H contributo individuale dirigenti in servizio</w:t>
            </w:r>
          </w:p>
        </w:tc>
        <w:tc>
          <w:tcPr>
            <w:tcW w:w="1811" w:type="dxa"/>
            <w:vAlign w:val="center"/>
          </w:tcPr>
          <w:p w:rsidR="00EC765F" w:rsidRPr="00C97A0C" w:rsidRDefault="00C35C03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960</w:t>
            </w:r>
            <w:r w:rsidR="00EC765F" w:rsidRPr="00C97A0C">
              <w:rPr>
                <w:rFonts w:ascii="Arial" w:hAnsi="Arial" w:cs="Arial"/>
                <w:sz w:val="32"/>
                <w:szCs w:val="32"/>
              </w:rPr>
              <w:t>,00</w:t>
            </w:r>
          </w:p>
        </w:tc>
      </w:tr>
      <w:tr w:rsidR="00EC765F" w:rsidRPr="00C97A0C" w:rsidTr="000764DC">
        <w:trPr>
          <w:jc w:val="center"/>
        </w:trPr>
        <w:tc>
          <w:tcPr>
            <w:tcW w:w="3259" w:type="dxa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Art. F + Art. H per iscritti in via convenzionale</w:t>
            </w:r>
          </w:p>
        </w:tc>
        <w:tc>
          <w:tcPr>
            <w:tcW w:w="1811" w:type="dxa"/>
            <w:vAlign w:val="center"/>
          </w:tcPr>
          <w:p w:rsidR="00EC765F" w:rsidRPr="00C97A0C" w:rsidRDefault="00C35C03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2.832</w:t>
            </w:r>
            <w:r w:rsidR="00EC765F" w:rsidRPr="00C97A0C">
              <w:rPr>
                <w:rFonts w:ascii="Arial" w:hAnsi="Arial" w:cs="Arial"/>
                <w:sz w:val="32"/>
                <w:szCs w:val="32"/>
              </w:rPr>
              <w:t>,00</w:t>
            </w:r>
          </w:p>
        </w:tc>
      </w:tr>
      <w:tr w:rsidR="00EC765F" w:rsidRPr="00C97A0C" w:rsidTr="000764DC">
        <w:trPr>
          <w:trHeight w:val="423"/>
          <w:jc w:val="center"/>
        </w:trPr>
        <w:tc>
          <w:tcPr>
            <w:tcW w:w="3259" w:type="dxa"/>
          </w:tcPr>
          <w:p w:rsidR="00EC765F" w:rsidRPr="00C97A0C" w:rsidRDefault="00EC765F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C97A0C">
              <w:rPr>
                <w:rFonts w:ascii="Arial" w:hAnsi="Arial" w:cs="Arial"/>
                <w:sz w:val="32"/>
                <w:szCs w:val="32"/>
              </w:rPr>
              <w:t>Art. H p ante 88</w:t>
            </w:r>
          </w:p>
        </w:tc>
        <w:tc>
          <w:tcPr>
            <w:tcW w:w="1811" w:type="dxa"/>
            <w:vAlign w:val="center"/>
          </w:tcPr>
          <w:p w:rsidR="00EC765F" w:rsidRPr="00C97A0C" w:rsidRDefault="00C35C03" w:rsidP="00EC765F">
            <w:pPr>
              <w:ind w:left="505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1.044</w:t>
            </w:r>
            <w:r w:rsidR="00EC765F" w:rsidRPr="00C97A0C">
              <w:rPr>
                <w:rFonts w:ascii="Arial" w:hAnsi="Arial" w:cs="Arial"/>
                <w:sz w:val="32"/>
                <w:szCs w:val="32"/>
              </w:rPr>
              <w:t>,00</w:t>
            </w:r>
          </w:p>
        </w:tc>
      </w:tr>
    </w:tbl>
    <w:p w:rsidR="000764DC" w:rsidRPr="00C97A0C" w:rsidRDefault="000764DC" w:rsidP="00EC765F">
      <w:pPr>
        <w:jc w:val="both"/>
        <w:rPr>
          <w:rFonts w:ascii="Arial" w:hAnsi="Arial" w:cs="Arial"/>
          <w:sz w:val="32"/>
          <w:szCs w:val="32"/>
        </w:rPr>
      </w:pPr>
    </w:p>
    <w:p w:rsidR="00EC765F" w:rsidRPr="00C97A0C" w:rsidRDefault="000764DC" w:rsidP="00EC765F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lastRenderedPageBreak/>
        <w:t>Inoltre, a far data dal 1° gennaio 2015, il Fondo non rimborserà l’IVA sulle prestazioni sanitarie cui si applica.</w:t>
      </w:r>
    </w:p>
    <w:p w:rsidR="00EC765F" w:rsidRPr="00C97A0C" w:rsidRDefault="000764DC" w:rsidP="00EC765F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V</w:t>
      </w:r>
      <w:r w:rsidR="00EC765F" w:rsidRPr="00C97A0C">
        <w:rPr>
          <w:rFonts w:ascii="Arial" w:hAnsi="Arial" w:cs="Arial"/>
          <w:sz w:val="32"/>
          <w:szCs w:val="32"/>
        </w:rPr>
        <w:t>engono poi introdotte una serie di modifiche</w:t>
      </w:r>
      <w:r w:rsidRPr="00C97A0C">
        <w:rPr>
          <w:rFonts w:ascii="Arial" w:hAnsi="Arial" w:cs="Arial"/>
          <w:sz w:val="32"/>
          <w:szCs w:val="32"/>
        </w:rPr>
        <w:t xml:space="preserve"> della disciplina previgente,</w:t>
      </w:r>
      <w:r w:rsidR="00EC765F" w:rsidRPr="00C97A0C">
        <w:rPr>
          <w:rFonts w:ascii="Arial" w:hAnsi="Arial" w:cs="Arial"/>
          <w:sz w:val="32"/>
          <w:szCs w:val="32"/>
        </w:rPr>
        <w:t xml:space="preserve"> volte a demandare </w:t>
      </w:r>
      <w:r w:rsidRPr="00C97A0C">
        <w:rPr>
          <w:rFonts w:ascii="Arial" w:hAnsi="Arial" w:cs="Arial"/>
          <w:sz w:val="32"/>
          <w:szCs w:val="32"/>
        </w:rPr>
        <w:t xml:space="preserve">direttamente </w:t>
      </w:r>
      <w:r w:rsidR="00EC765F" w:rsidRPr="00C97A0C">
        <w:rPr>
          <w:rFonts w:ascii="Arial" w:hAnsi="Arial" w:cs="Arial"/>
          <w:sz w:val="32"/>
          <w:szCs w:val="32"/>
        </w:rPr>
        <w:t xml:space="preserve">agli organi </w:t>
      </w:r>
      <w:r w:rsidRPr="00C97A0C">
        <w:rPr>
          <w:rFonts w:ascii="Arial" w:hAnsi="Arial" w:cs="Arial"/>
          <w:sz w:val="32"/>
          <w:szCs w:val="32"/>
        </w:rPr>
        <w:t>amministrativi del Fondo, sempre con l’obiettivo di garantirne l’equilibrio economico – finanziario, le decisioni in ordine alla determinazione delle aliquote contributive dal 2016.</w:t>
      </w:r>
    </w:p>
    <w:p w:rsidR="00EC765F" w:rsidRPr="00C97A0C" w:rsidRDefault="000764DC" w:rsidP="000764DC">
      <w:p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E così</w:t>
      </w:r>
      <w:r w:rsidR="001636F6" w:rsidRPr="00C97A0C">
        <w:rPr>
          <w:rFonts w:ascii="Arial" w:hAnsi="Arial" w:cs="Arial"/>
          <w:sz w:val="32"/>
          <w:szCs w:val="32"/>
        </w:rPr>
        <w:t>,</w:t>
      </w:r>
      <w:r w:rsidRPr="00C97A0C">
        <w:rPr>
          <w:rFonts w:ascii="Arial" w:hAnsi="Arial" w:cs="Arial"/>
          <w:sz w:val="32"/>
          <w:szCs w:val="32"/>
        </w:rPr>
        <w:t xml:space="preserve"> viene demandato a</w:t>
      </w:r>
      <w:r w:rsidR="00EC765F" w:rsidRPr="00C97A0C">
        <w:rPr>
          <w:rFonts w:ascii="Arial" w:hAnsi="Arial" w:cs="Arial"/>
          <w:sz w:val="32"/>
          <w:szCs w:val="32"/>
        </w:rPr>
        <w:t xml:space="preserve">gli organi amministrativi del Fondo, </w:t>
      </w:r>
      <w:r w:rsidR="00BD09A4" w:rsidRPr="00C97A0C">
        <w:rPr>
          <w:rFonts w:ascii="Arial" w:hAnsi="Arial" w:cs="Arial"/>
          <w:sz w:val="32"/>
          <w:szCs w:val="32"/>
        </w:rPr>
        <w:t xml:space="preserve">che </w:t>
      </w:r>
      <w:r w:rsidR="00EC765F" w:rsidRPr="00C97A0C">
        <w:rPr>
          <w:rFonts w:ascii="Arial" w:hAnsi="Arial" w:cs="Arial"/>
          <w:sz w:val="32"/>
          <w:szCs w:val="32"/>
        </w:rPr>
        <w:t>adotteranno le necessarie delibere, con efficacia dal 1° genna</w:t>
      </w:r>
      <w:r w:rsidR="00BD09A4" w:rsidRPr="00C97A0C">
        <w:rPr>
          <w:rFonts w:ascii="Arial" w:hAnsi="Arial" w:cs="Arial"/>
          <w:sz w:val="32"/>
          <w:szCs w:val="32"/>
        </w:rPr>
        <w:t>io 2016</w:t>
      </w:r>
      <w:r w:rsidR="00EC765F" w:rsidRPr="00C97A0C">
        <w:rPr>
          <w:rFonts w:ascii="Arial" w:hAnsi="Arial" w:cs="Arial"/>
          <w:sz w:val="32"/>
          <w:szCs w:val="32"/>
        </w:rPr>
        <w:t>:</w:t>
      </w:r>
    </w:p>
    <w:p w:rsidR="00EC765F" w:rsidRPr="00C97A0C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 </w:t>
      </w:r>
      <w:r w:rsidR="00BD09A4" w:rsidRPr="00C97A0C">
        <w:rPr>
          <w:rFonts w:ascii="Arial" w:hAnsi="Arial" w:cs="Arial"/>
          <w:sz w:val="32"/>
          <w:szCs w:val="32"/>
        </w:rPr>
        <w:t xml:space="preserve">la </w:t>
      </w:r>
      <w:r w:rsidRPr="00C97A0C">
        <w:rPr>
          <w:rFonts w:ascii="Arial" w:hAnsi="Arial" w:cs="Arial"/>
          <w:sz w:val="32"/>
          <w:szCs w:val="32"/>
        </w:rPr>
        <w:t>determina</w:t>
      </w:r>
      <w:r w:rsidR="00BD09A4" w:rsidRPr="00C97A0C">
        <w:rPr>
          <w:rFonts w:ascii="Arial" w:hAnsi="Arial" w:cs="Arial"/>
          <w:sz w:val="32"/>
          <w:szCs w:val="32"/>
        </w:rPr>
        <w:t>zione del</w:t>
      </w:r>
      <w:r w:rsidRPr="00C97A0C">
        <w:rPr>
          <w:rFonts w:ascii="Arial" w:hAnsi="Arial" w:cs="Arial"/>
          <w:sz w:val="32"/>
          <w:szCs w:val="32"/>
        </w:rPr>
        <w:t>le quote annuali di contribuzione a carico delle imprese ex lett. F) e G) del regolamento</w:t>
      </w:r>
      <w:r w:rsidR="001636F6" w:rsidRPr="00C97A0C">
        <w:rPr>
          <w:rFonts w:ascii="Arial" w:hAnsi="Arial" w:cs="Arial"/>
          <w:sz w:val="32"/>
          <w:szCs w:val="32"/>
        </w:rPr>
        <w:t>,</w:t>
      </w:r>
      <w:r w:rsidRPr="00C97A0C">
        <w:rPr>
          <w:rFonts w:ascii="Arial" w:hAnsi="Arial" w:cs="Arial"/>
          <w:sz w:val="32"/>
          <w:szCs w:val="32"/>
        </w:rPr>
        <w:t xml:space="preserve"> in misura tale che l’ammontare dei contributi derivante da queste due voci si mantenga in una misura compresa fra il 55% e il 57% del totale delle entrate contributive dell’anno di riferimento ai fine del budget;</w:t>
      </w:r>
    </w:p>
    <w:p w:rsidR="00EC765F" w:rsidRPr="00C97A0C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 </w:t>
      </w:r>
      <w:r w:rsidR="00BD09A4" w:rsidRPr="00C97A0C">
        <w:rPr>
          <w:rFonts w:ascii="Arial" w:hAnsi="Arial" w:cs="Arial"/>
          <w:sz w:val="32"/>
          <w:szCs w:val="32"/>
        </w:rPr>
        <w:t xml:space="preserve">la </w:t>
      </w:r>
      <w:r w:rsidRPr="00C97A0C">
        <w:rPr>
          <w:rFonts w:ascii="Arial" w:hAnsi="Arial" w:cs="Arial"/>
          <w:sz w:val="32"/>
          <w:szCs w:val="32"/>
        </w:rPr>
        <w:t>determinazione annuale del contributo previsto dall’art. H del regolamento;</w:t>
      </w:r>
    </w:p>
    <w:p w:rsidR="00EC765F" w:rsidRPr="00C97A0C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 ai fini delle maggiorazioni previste sul contributo di cui all’art. H del regolamento (per i soli dirigenti pensionati), </w:t>
      </w:r>
      <w:r w:rsidR="00BD09A4" w:rsidRPr="00C97A0C">
        <w:rPr>
          <w:rFonts w:ascii="Arial" w:hAnsi="Arial" w:cs="Arial"/>
          <w:sz w:val="32"/>
          <w:szCs w:val="32"/>
        </w:rPr>
        <w:t>saranno</w:t>
      </w:r>
      <w:r w:rsidRPr="00C97A0C">
        <w:rPr>
          <w:rFonts w:ascii="Arial" w:hAnsi="Arial" w:cs="Arial"/>
          <w:sz w:val="32"/>
          <w:szCs w:val="32"/>
        </w:rPr>
        <w:t xml:space="preserve"> considerati i soli periodi di iscrizione al FASI;</w:t>
      </w:r>
    </w:p>
    <w:p w:rsidR="00EC765F" w:rsidRPr="00C97A0C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 l’adozione di interventi sull’art. L del regolamento</w:t>
      </w:r>
      <w:r w:rsidR="001636F6" w:rsidRPr="00C97A0C">
        <w:rPr>
          <w:rFonts w:ascii="Arial" w:hAnsi="Arial" w:cs="Arial"/>
          <w:sz w:val="32"/>
          <w:szCs w:val="32"/>
        </w:rPr>
        <w:t>,</w:t>
      </w:r>
      <w:r w:rsidRPr="00C97A0C">
        <w:rPr>
          <w:rFonts w:ascii="Arial" w:hAnsi="Arial" w:cs="Arial"/>
          <w:sz w:val="32"/>
          <w:szCs w:val="32"/>
        </w:rPr>
        <w:t xml:space="preserve"> per rimodulare le penalizzazioni di ritardata iscrizione, al fine di incentivare l’iscrizione al Fondo;</w:t>
      </w:r>
    </w:p>
    <w:p w:rsidR="00EC765F" w:rsidRPr="00C97A0C" w:rsidRDefault="001636F6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la modifica del parametro di calcolo del contributo una tantum </w:t>
      </w:r>
      <w:r w:rsidR="00BD09A4" w:rsidRPr="00C97A0C">
        <w:rPr>
          <w:rFonts w:ascii="Arial" w:hAnsi="Arial" w:cs="Arial"/>
          <w:sz w:val="32"/>
          <w:szCs w:val="32"/>
        </w:rPr>
        <w:t xml:space="preserve">in relazione alle confluenze </w:t>
      </w:r>
      <w:r w:rsidR="00EC765F" w:rsidRPr="00C97A0C">
        <w:rPr>
          <w:rFonts w:ascii="Arial" w:hAnsi="Arial" w:cs="Arial"/>
          <w:sz w:val="32"/>
          <w:szCs w:val="32"/>
        </w:rPr>
        <w:t>collettive previste dall’art. 2b-bis comma 2 dello Statuto, per le richieste che verranno formalizzate dopo la data di entrata in vigo</w:t>
      </w:r>
      <w:r w:rsidR="00BD09A4" w:rsidRPr="00C97A0C">
        <w:rPr>
          <w:rFonts w:ascii="Arial" w:hAnsi="Arial" w:cs="Arial"/>
          <w:sz w:val="32"/>
          <w:szCs w:val="32"/>
        </w:rPr>
        <w:t>re dell’accordo di rinnovo</w:t>
      </w:r>
      <w:r w:rsidR="00EC765F" w:rsidRPr="00C97A0C">
        <w:rPr>
          <w:rFonts w:ascii="Arial" w:hAnsi="Arial" w:cs="Arial"/>
          <w:sz w:val="32"/>
          <w:szCs w:val="32"/>
        </w:rPr>
        <w:t xml:space="preserve">, con l’obiettivo di prevedere un equilibrio fra entrate e uscite calcolato su un arco </w:t>
      </w:r>
      <w:r w:rsidR="00EC765F" w:rsidRPr="00C97A0C">
        <w:rPr>
          <w:rFonts w:ascii="Arial" w:hAnsi="Arial" w:cs="Arial"/>
          <w:sz w:val="32"/>
          <w:szCs w:val="32"/>
        </w:rPr>
        <w:lastRenderedPageBreak/>
        <w:t>temporale fra 8 e 10 anni. Il Consiglio di Amministrazione del Fondo potrà applicare tale criterio alle eventuali domande di confluenza che perverranno nell’anno 2015;</w:t>
      </w:r>
    </w:p>
    <w:p w:rsidR="00EC765F" w:rsidRPr="00C97A0C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l’applicazione dal 2016 di una maggiorazione non inferiore al 10% al contributo previsto dall’art. G del regolamento per quelle imprese che contribuiscono al versamento del solo art. G del regolamento stesso senza oggi corrispondere alcuna maggiorazione. Il Consiglio di amministrazione del Fondo valuterà la modulazione della maggiorazione di cui sopra e di quella già applicata per le adesioni post 2005 a garanzia del corretto equilibrio gestionale (entrate/uscite). Il Consiglio di amministrazione valuterà altresì l’eventuale inibizione della facoltà di accogliere nuove richieste di accesso da parte di imprese che ad oggi non si sono ancora avvalse di tale facoltà.</w:t>
      </w:r>
    </w:p>
    <w:p w:rsidR="00EC765F" w:rsidRPr="00C97A0C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relativamente alla contribuzione per il nucleo familiare:</w:t>
      </w:r>
    </w:p>
    <w:p w:rsidR="00EC765F" w:rsidRPr="00C97A0C" w:rsidRDefault="00EC765F" w:rsidP="00EC765F">
      <w:pPr>
        <w:numPr>
          <w:ilvl w:val="2"/>
          <w:numId w:val="7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la determinazione annuale di un contributo aggiuntivo, a carico del dirigente, per ogni familiare, esclusi gli ascendenti, eccedenti il terzo componente;</w:t>
      </w:r>
    </w:p>
    <w:p w:rsidR="00EC765F" w:rsidRPr="00C97A0C" w:rsidRDefault="00A70ABD" w:rsidP="00EC765F">
      <w:pPr>
        <w:numPr>
          <w:ilvl w:val="2"/>
          <w:numId w:val="7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la possibilità di iscrivere</w:t>
      </w:r>
      <w:r w:rsidR="00EC765F" w:rsidRPr="00C97A0C">
        <w:rPr>
          <w:rFonts w:ascii="Arial" w:hAnsi="Arial" w:cs="Arial"/>
          <w:sz w:val="32"/>
          <w:szCs w:val="32"/>
        </w:rPr>
        <w:t xml:space="preserve">, a carico del dirigente, il </w:t>
      </w:r>
      <w:r w:rsidRPr="00C97A0C">
        <w:rPr>
          <w:rFonts w:ascii="Arial" w:hAnsi="Arial" w:cs="Arial"/>
          <w:sz w:val="32"/>
          <w:szCs w:val="32"/>
        </w:rPr>
        <w:t>convivente more uxorio, rispettando</w:t>
      </w:r>
      <w:r w:rsidR="00BD09A4" w:rsidRPr="00C97A0C">
        <w:rPr>
          <w:rFonts w:ascii="Arial" w:hAnsi="Arial" w:cs="Arial"/>
          <w:sz w:val="32"/>
          <w:szCs w:val="32"/>
        </w:rPr>
        <w:t xml:space="preserve"> una serie di</w:t>
      </w:r>
      <w:r w:rsidR="00EC765F" w:rsidRPr="00C97A0C">
        <w:rPr>
          <w:rFonts w:ascii="Arial" w:hAnsi="Arial" w:cs="Arial"/>
          <w:sz w:val="32"/>
          <w:szCs w:val="32"/>
        </w:rPr>
        <w:t xml:space="preserve"> crite</w:t>
      </w:r>
      <w:r w:rsidR="00BD09A4" w:rsidRPr="00C97A0C">
        <w:rPr>
          <w:rFonts w:ascii="Arial" w:hAnsi="Arial" w:cs="Arial"/>
          <w:sz w:val="32"/>
          <w:szCs w:val="32"/>
        </w:rPr>
        <w:t>ri;</w:t>
      </w:r>
    </w:p>
    <w:p w:rsidR="00EC765F" w:rsidRPr="00C97A0C" w:rsidRDefault="00EC765F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la previsione della possibilità di iscrizione, in qualità e con i livelli contributivi dei dirigenti iscritti in via convenzionale, di chi abbia perso la qualifica di dirigente, a condizione che abbia maturato un’anzianità di iscrizione al Fondo di almeno 2 anni;</w:t>
      </w:r>
    </w:p>
    <w:p w:rsidR="00EC765F" w:rsidRPr="00C97A0C" w:rsidRDefault="00BD09A4" w:rsidP="00EC765F">
      <w:pPr>
        <w:numPr>
          <w:ilvl w:val="0"/>
          <w:numId w:val="6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la </w:t>
      </w:r>
      <w:r w:rsidR="00EC765F" w:rsidRPr="00C97A0C">
        <w:rPr>
          <w:rFonts w:ascii="Arial" w:hAnsi="Arial" w:cs="Arial"/>
          <w:sz w:val="32"/>
          <w:szCs w:val="32"/>
        </w:rPr>
        <w:t>formula</w:t>
      </w:r>
      <w:r w:rsidRPr="00C97A0C">
        <w:rPr>
          <w:rFonts w:ascii="Arial" w:hAnsi="Arial" w:cs="Arial"/>
          <w:sz w:val="32"/>
          <w:szCs w:val="32"/>
        </w:rPr>
        <w:t>zione</w:t>
      </w:r>
      <w:r w:rsidR="00EC765F" w:rsidRPr="00C97A0C">
        <w:rPr>
          <w:rFonts w:ascii="Arial" w:hAnsi="Arial" w:cs="Arial"/>
          <w:sz w:val="32"/>
          <w:szCs w:val="32"/>
        </w:rPr>
        <w:t xml:space="preserve"> alle parti, entro il 30 novembre 2015 - avvalendosi di esperti in campo economico, </w:t>
      </w:r>
      <w:r w:rsidR="00EC765F" w:rsidRPr="00C97A0C">
        <w:rPr>
          <w:rFonts w:ascii="Arial" w:hAnsi="Arial" w:cs="Arial"/>
          <w:sz w:val="32"/>
          <w:szCs w:val="32"/>
        </w:rPr>
        <w:lastRenderedPageBreak/>
        <w:t>attuar</w:t>
      </w:r>
      <w:r w:rsidR="00C45CDD">
        <w:rPr>
          <w:rFonts w:ascii="Arial" w:hAnsi="Arial" w:cs="Arial"/>
          <w:sz w:val="32"/>
          <w:szCs w:val="32"/>
        </w:rPr>
        <w:t>iale/assicurativo,  giuridico e</w:t>
      </w:r>
      <w:r w:rsidR="00EC765F" w:rsidRPr="00C97A0C">
        <w:rPr>
          <w:rFonts w:ascii="Arial" w:hAnsi="Arial" w:cs="Arial"/>
          <w:sz w:val="32"/>
          <w:szCs w:val="32"/>
        </w:rPr>
        <w:t xml:space="preserve"> di </w:t>
      </w:r>
      <w:proofErr w:type="spellStart"/>
      <w:r w:rsidR="00EC765F" w:rsidRPr="00C97A0C">
        <w:rPr>
          <w:rFonts w:ascii="Arial" w:hAnsi="Arial" w:cs="Arial"/>
          <w:sz w:val="32"/>
          <w:szCs w:val="32"/>
        </w:rPr>
        <w:t>sanita’</w:t>
      </w:r>
      <w:proofErr w:type="spellEnd"/>
      <w:r w:rsidR="00EC765F" w:rsidRPr="00C97A0C">
        <w:rPr>
          <w:rFonts w:ascii="Arial" w:hAnsi="Arial" w:cs="Arial"/>
          <w:sz w:val="32"/>
          <w:szCs w:val="32"/>
        </w:rPr>
        <w:t xml:space="preserve"> integrativa </w:t>
      </w:r>
      <w:r w:rsidRPr="00C97A0C">
        <w:rPr>
          <w:rFonts w:ascii="Arial" w:hAnsi="Arial" w:cs="Arial"/>
          <w:sz w:val="32"/>
          <w:szCs w:val="32"/>
        </w:rPr>
        <w:t>–</w:t>
      </w:r>
      <w:r w:rsidR="00EC765F" w:rsidRPr="00C97A0C">
        <w:rPr>
          <w:rFonts w:ascii="Arial" w:hAnsi="Arial" w:cs="Arial"/>
          <w:sz w:val="32"/>
          <w:szCs w:val="32"/>
        </w:rPr>
        <w:t xml:space="preserve"> </w:t>
      </w:r>
      <w:r w:rsidRPr="00C97A0C">
        <w:rPr>
          <w:rFonts w:ascii="Arial" w:hAnsi="Arial" w:cs="Arial"/>
          <w:sz w:val="32"/>
          <w:szCs w:val="32"/>
        </w:rPr>
        <w:t xml:space="preserve">di </w:t>
      </w:r>
      <w:r w:rsidR="00EC765F" w:rsidRPr="00C97A0C">
        <w:rPr>
          <w:rFonts w:ascii="Arial" w:hAnsi="Arial" w:cs="Arial"/>
          <w:sz w:val="32"/>
          <w:szCs w:val="32"/>
        </w:rPr>
        <w:t>proposte:</w:t>
      </w:r>
    </w:p>
    <w:p w:rsidR="00EC765F" w:rsidRPr="00C97A0C" w:rsidRDefault="00EC765F" w:rsidP="00EC765F">
      <w:pPr>
        <w:numPr>
          <w:ilvl w:val="0"/>
          <w:numId w:val="9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>di revisione graduale del criterio di gestione basato sull’assetto a ripartizione del Fondo, tali da garantire anche nel medio - lungo periodo gli obiettivi di equilibrio finanziario di solidarietà sostenibile richiamati in premessa;</w:t>
      </w:r>
    </w:p>
    <w:p w:rsidR="00EC765F" w:rsidRPr="00C97A0C" w:rsidRDefault="00EC765F" w:rsidP="00EC765F">
      <w:pPr>
        <w:numPr>
          <w:ilvl w:val="0"/>
          <w:numId w:val="9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 di introduzione di elementi di diversificazione della contribuzione in relazione alla possibilità di offrire pacchetti differenziati di prestazioni;</w:t>
      </w:r>
    </w:p>
    <w:p w:rsidR="00EC765F" w:rsidRDefault="00EC765F" w:rsidP="00EC765F">
      <w:pPr>
        <w:numPr>
          <w:ilvl w:val="0"/>
          <w:numId w:val="9"/>
        </w:numPr>
        <w:jc w:val="both"/>
        <w:rPr>
          <w:rFonts w:ascii="Arial" w:hAnsi="Arial" w:cs="Arial"/>
          <w:sz w:val="32"/>
          <w:szCs w:val="32"/>
        </w:rPr>
      </w:pPr>
      <w:r w:rsidRPr="00C97A0C">
        <w:rPr>
          <w:rFonts w:ascii="Arial" w:hAnsi="Arial" w:cs="Arial"/>
          <w:sz w:val="32"/>
          <w:szCs w:val="32"/>
        </w:rPr>
        <w:t xml:space="preserve">di ampliamento delle attività nel campo dell’assistenza sanitaria e delle iniziative ad essa collegate tenendo conto delle attività attualmente svolte da </w:t>
      </w:r>
      <w:proofErr w:type="spellStart"/>
      <w:r w:rsidRPr="00C97A0C">
        <w:rPr>
          <w:rFonts w:ascii="Arial" w:hAnsi="Arial" w:cs="Arial"/>
          <w:sz w:val="32"/>
          <w:szCs w:val="32"/>
        </w:rPr>
        <w:t>Assidai</w:t>
      </w:r>
      <w:proofErr w:type="spellEnd"/>
      <w:r w:rsidRPr="00C97A0C">
        <w:rPr>
          <w:rFonts w:ascii="Arial" w:hAnsi="Arial" w:cs="Arial"/>
          <w:sz w:val="32"/>
          <w:szCs w:val="32"/>
        </w:rPr>
        <w:t xml:space="preserve"> e nel rispetto delle finalità statutarie del Fondo</w:t>
      </w:r>
      <w:r w:rsidR="00BD09A4" w:rsidRPr="00C97A0C">
        <w:rPr>
          <w:rFonts w:ascii="Arial" w:hAnsi="Arial" w:cs="Arial"/>
          <w:sz w:val="32"/>
          <w:szCs w:val="32"/>
        </w:rPr>
        <w:t>.</w:t>
      </w:r>
      <w:r w:rsidR="00C74B60" w:rsidRPr="00C97A0C">
        <w:rPr>
          <w:rFonts w:ascii="Arial" w:hAnsi="Arial" w:cs="Arial"/>
          <w:sz w:val="32"/>
          <w:szCs w:val="32"/>
        </w:rPr>
        <w:t xml:space="preserve"> </w:t>
      </w:r>
    </w:p>
    <w:p w:rsidR="00770A9A" w:rsidRDefault="00770A9A" w:rsidP="003165D4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</w:t>
      </w:r>
      <w:r w:rsidR="003165D4">
        <w:rPr>
          <w:rFonts w:ascii="Arial" w:hAnsi="Arial" w:cs="Arial"/>
          <w:sz w:val="32"/>
          <w:szCs w:val="32"/>
        </w:rPr>
        <w:t xml:space="preserve">er favorire la modernizzazione della </w:t>
      </w:r>
      <w:proofErr w:type="spellStart"/>
      <w:r w:rsidR="003165D4">
        <w:rPr>
          <w:rFonts w:ascii="Arial" w:hAnsi="Arial" w:cs="Arial"/>
          <w:sz w:val="32"/>
          <w:szCs w:val="32"/>
        </w:rPr>
        <w:t>governa</w:t>
      </w:r>
      <w:r>
        <w:rPr>
          <w:rFonts w:ascii="Arial" w:hAnsi="Arial" w:cs="Arial"/>
          <w:sz w:val="32"/>
          <w:szCs w:val="32"/>
        </w:rPr>
        <w:t>n</w:t>
      </w:r>
      <w:r w:rsidR="003165D4">
        <w:rPr>
          <w:rFonts w:ascii="Arial" w:hAnsi="Arial" w:cs="Arial"/>
          <w:sz w:val="32"/>
          <w:szCs w:val="32"/>
        </w:rPr>
        <w:t>ce</w:t>
      </w:r>
      <w:proofErr w:type="spellEnd"/>
      <w:r w:rsidR="003165D4">
        <w:rPr>
          <w:rFonts w:ascii="Arial" w:hAnsi="Arial" w:cs="Arial"/>
          <w:sz w:val="32"/>
          <w:szCs w:val="32"/>
        </w:rPr>
        <w:t xml:space="preserve"> del Fondo</w:t>
      </w:r>
      <w:r>
        <w:rPr>
          <w:rFonts w:ascii="Arial" w:hAnsi="Arial" w:cs="Arial"/>
          <w:sz w:val="32"/>
          <w:szCs w:val="32"/>
        </w:rPr>
        <w:t>, l’accordo di rinnovo prevede che, entro il mese di luglio del 2015, vengano adottate tutte le relative modifiche statutarie, e ciò in modo di convocare la prima Assemblea del Fondo entro il mese di ottobre 2015.</w:t>
      </w:r>
    </w:p>
    <w:p w:rsidR="00770A9A" w:rsidRDefault="00770A9A" w:rsidP="003165D4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E’ stato convenuto, infine, che il Consiglio di Amministrazione del Fondo formuli, nel più breve tempo possibile, le altre necessarie proposte di modifica dello Statuto. </w:t>
      </w:r>
    </w:p>
    <w:p w:rsidR="003165D4" w:rsidRPr="00C97A0C" w:rsidRDefault="003165D4" w:rsidP="003165D4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EC765F" w:rsidRPr="00C97A0C" w:rsidRDefault="00EC765F" w:rsidP="00EC765F">
      <w:pPr>
        <w:ind w:left="505"/>
        <w:jc w:val="both"/>
        <w:rPr>
          <w:rFonts w:ascii="Arial" w:hAnsi="Arial" w:cs="Arial"/>
          <w:sz w:val="32"/>
          <w:szCs w:val="32"/>
        </w:rPr>
      </w:pPr>
    </w:p>
    <w:sectPr w:rsidR="00EC765F" w:rsidRPr="00C97A0C" w:rsidSect="005926A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E76" w:rsidRDefault="00F03E76" w:rsidP="007F3734">
      <w:pPr>
        <w:spacing w:after="0" w:line="240" w:lineRule="auto"/>
      </w:pPr>
      <w:r>
        <w:separator/>
      </w:r>
    </w:p>
  </w:endnote>
  <w:endnote w:type="continuationSeparator" w:id="0">
    <w:p w:rsidR="00F03E76" w:rsidRDefault="00F03E76" w:rsidP="007F3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53045"/>
      <w:docPartObj>
        <w:docPartGallery w:val="Page Numbers (Bottom of Page)"/>
        <w:docPartUnique/>
      </w:docPartObj>
    </w:sdtPr>
    <w:sdtContent>
      <w:p w:rsidR="00A10B95" w:rsidRDefault="00A10B95">
        <w:pPr>
          <w:pStyle w:val="Pidipagina"/>
          <w:jc w:val="right"/>
        </w:pPr>
        <w:fldSimple w:instr=" PAGE   \* MERGEFORMAT ">
          <w:r w:rsidR="00CE1DE8">
            <w:rPr>
              <w:noProof/>
            </w:rPr>
            <w:t>1</w:t>
          </w:r>
        </w:fldSimple>
      </w:p>
    </w:sdtContent>
  </w:sdt>
  <w:p w:rsidR="00C45CDD" w:rsidRDefault="00C45CD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E76" w:rsidRDefault="00F03E76" w:rsidP="007F3734">
      <w:pPr>
        <w:spacing w:after="0" w:line="240" w:lineRule="auto"/>
      </w:pPr>
      <w:r>
        <w:separator/>
      </w:r>
    </w:p>
  </w:footnote>
  <w:footnote w:type="continuationSeparator" w:id="0">
    <w:p w:rsidR="00F03E76" w:rsidRDefault="00F03E76" w:rsidP="007F3734">
      <w:pPr>
        <w:spacing w:after="0" w:line="240" w:lineRule="auto"/>
      </w:pPr>
      <w:r>
        <w:continuationSeparator/>
      </w:r>
    </w:p>
  </w:footnote>
  <w:footnote w:id="1">
    <w:p w:rsidR="007F3734" w:rsidRDefault="007F3734">
      <w:pPr>
        <w:pStyle w:val="Testonotaapidipagina"/>
      </w:pPr>
      <w:r>
        <w:rPr>
          <w:rStyle w:val="Rimandonotaapidipagina"/>
        </w:rPr>
        <w:footnoteRef/>
      </w:r>
      <w:r>
        <w:t xml:space="preserve"> Si chiarisce che per i dirigenti con anzianità fino a 12 mesi il riconoscimento del nuovo livello minimo del TMCG, pari </w:t>
      </w:r>
      <w:r w:rsidR="00FC791C">
        <w:t>a 66.000 euro,  assorbe</w:t>
      </w:r>
      <w:r>
        <w:t xml:space="preserve"> quanto otterrebbero se si applicasse anche a costoro il meccanismo dei </w:t>
      </w:r>
      <w:r w:rsidR="00FC791C">
        <w:t>“</w:t>
      </w:r>
      <w:r>
        <w:t>settantaduesimi</w:t>
      </w:r>
      <w:r w:rsidR="00FC791C">
        <w:t>” maturati</w:t>
      </w:r>
      <w: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5D52"/>
    <w:multiLevelType w:val="hybridMultilevel"/>
    <w:tmpl w:val="F0244AC8"/>
    <w:lvl w:ilvl="0" w:tplc="103E6FA0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6E6025"/>
    <w:multiLevelType w:val="hybridMultilevel"/>
    <w:tmpl w:val="09CE6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F35A4"/>
    <w:multiLevelType w:val="hybridMultilevel"/>
    <w:tmpl w:val="9B5ECCFE"/>
    <w:lvl w:ilvl="0" w:tplc="55806BB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7A93ED3"/>
    <w:multiLevelType w:val="hybridMultilevel"/>
    <w:tmpl w:val="092645F4"/>
    <w:lvl w:ilvl="0" w:tplc="D0D411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7341F"/>
    <w:multiLevelType w:val="hybridMultilevel"/>
    <w:tmpl w:val="8DA44BE0"/>
    <w:lvl w:ilvl="0" w:tplc="1466CD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F3818"/>
    <w:multiLevelType w:val="hybridMultilevel"/>
    <w:tmpl w:val="603EAA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83C8A"/>
    <w:multiLevelType w:val="hybridMultilevel"/>
    <w:tmpl w:val="C39E21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060DF"/>
    <w:multiLevelType w:val="hybridMultilevel"/>
    <w:tmpl w:val="802474D6"/>
    <w:lvl w:ilvl="0" w:tplc="0410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8">
    <w:nsid w:val="71005E4B"/>
    <w:multiLevelType w:val="hybridMultilevel"/>
    <w:tmpl w:val="C5585F74"/>
    <w:lvl w:ilvl="0" w:tplc="A5B837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105D18"/>
    <w:multiLevelType w:val="hybridMultilevel"/>
    <w:tmpl w:val="346677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3AF"/>
    <w:rsid w:val="00007949"/>
    <w:rsid w:val="000764DC"/>
    <w:rsid w:val="00101DFF"/>
    <w:rsid w:val="00132462"/>
    <w:rsid w:val="0013716D"/>
    <w:rsid w:val="001636F6"/>
    <w:rsid w:val="001E6497"/>
    <w:rsid w:val="001E7755"/>
    <w:rsid w:val="00234E3E"/>
    <w:rsid w:val="00273E5C"/>
    <w:rsid w:val="002F4D4F"/>
    <w:rsid w:val="003165D4"/>
    <w:rsid w:val="00340B54"/>
    <w:rsid w:val="0034549D"/>
    <w:rsid w:val="00391490"/>
    <w:rsid w:val="003C7AAA"/>
    <w:rsid w:val="003E183F"/>
    <w:rsid w:val="00482245"/>
    <w:rsid w:val="004E2DD4"/>
    <w:rsid w:val="0053195C"/>
    <w:rsid w:val="00552507"/>
    <w:rsid w:val="0058400F"/>
    <w:rsid w:val="005926A7"/>
    <w:rsid w:val="005B33C5"/>
    <w:rsid w:val="005C1399"/>
    <w:rsid w:val="005D3685"/>
    <w:rsid w:val="005F11CE"/>
    <w:rsid w:val="00633979"/>
    <w:rsid w:val="00681A47"/>
    <w:rsid w:val="00693C0D"/>
    <w:rsid w:val="00697721"/>
    <w:rsid w:val="00701985"/>
    <w:rsid w:val="00705522"/>
    <w:rsid w:val="00727398"/>
    <w:rsid w:val="00732310"/>
    <w:rsid w:val="00770A9A"/>
    <w:rsid w:val="007755E3"/>
    <w:rsid w:val="00783F30"/>
    <w:rsid w:val="007911BD"/>
    <w:rsid w:val="00791DC7"/>
    <w:rsid w:val="0079584F"/>
    <w:rsid w:val="007B0740"/>
    <w:rsid w:val="007C72E8"/>
    <w:rsid w:val="007D0313"/>
    <w:rsid w:val="007F3734"/>
    <w:rsid w:val="00810E07"/>
    <w:rsid w:val="00917CA0"/>
    <w:rsid w:val="00943D07"/>
    <w:rsid w:val="00952326"/>
    <w:rsid w:val="00955802"/>
    <w:rsid w:val="009B6A91"/>
    <w:rsid w:val="009E4C79"/>
    <w:rsid w:val="00A07C7D"/>
    <w:rsid w:val="00A10B95"/>
    <w:rsid w:val="00A35FCF"/>
    <w:rsid w:val="00A61710"/>
    <w:rsid w:val="00A70ABD"/>
    <w:rsid w:val="00A9699C"/>
    <w:rsid w:val="00AC5330"/>
    <w:rsid w:val="00AD2018"/>
    <w:rsid w:val="00AD50F4"/>
    <w:rsid w:val="00B76F4C"/>
    <w:rsid w:val="00B938D0"/>
    <w:rsid w:val="00BA03A8"/>
    <w:rsid w:val="00BD09A4"/>
    <w:rsid w:val="00C35C03"/>
    <w:rsid w:val="00C45CDD"/>
    <w:rsid w:val="00C74B60"/>
    <w:rsid w:val="00C97A0C"/>
    <w:rsid w:val="00CB23AF"/>
    <w:rsid w:val="00CC67F0"/>
    <w:rsid w:val="00CE1DE8"/>
    <w:rsid w:val="00CE2E8B"/>
    <w:rsid w:val="00D72B3B"/>
    <w:rsid w:val="00D90EDC"/>
    <w:rsid w:val="00DA3996"/>
    <w:rsid w:val="00DB00CE"/>
    <w:rsid w:val="00DE6A0B"/>
    <w:rsid w:val="00DE6DF3"/>
    <w:rsid w:val="00E47D3D"/>
    <w:rsid w:val="00E81C9F"/>
    <w:rsid w:val="00E9788C"/>
    <w:rsid w:val="00EA3265"/>
    <w:rsid w:val="00EC765F"/>
    <w:rsid w:val="00F03E76"/>
    <w:rsid w:val="00FB08EB"/>
    <w:rsid w:val="00FC6847"/>
    <w:rsid w:val="00FC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26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6A91"/>
    <w:pPr>
      <w:ind w:left="720"/>
      <w:contextualSpacing/>
    </w:pPr>
  </w:style>
  <w:style w:type="paragraph" w:styleId="Corpodeltesto">
    <w:name w:val="Body Text"/>
    <w:basedOn w:val="Normale"/>
    <w:link w:val="CorpodeltestoCarattere"/>
    <w:semiHidden/>
    <w:rsid w:val="00A35F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35FCF"/>
    <w:rPr>
      <w:rFonts w:ascii="Arial" w:eastAsia="Times New Roman" w:hAnsi="Arial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373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373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373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45C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45CDD"/>
  </w:style>
  <w:style w:type="paragraph" w:styleId="Pidipagina">
    <w:name w:val="footer"/>
    <w:basedOn w:val="Normale"/>
    <w:link w:val="PidipaginaCarattere"/>
    <w:uiPriority w:val="99"/>
    <w:unhideWhenUsed/>
    <w:rsid w:val="00C45C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3B329-E289-4088-B7D4-9392AC347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Confindustria</Company>
  <LinksUpToDate>false</LinksUpToDate>
  <CharactersWithSpaces>15242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MMarche</dc:creator>
  <cp:lastModifiedBy>MMarche</cp:lastModifiedBy>
  <cp:revision>2</cp:revision>
  <cp:lastPrinted>2014-12-23T15:57:00Z</cp:lastPrinted>
  <dcterms:created xsi:type="dcterms:W3CDTF">2015-01-29T11:55:00Z</dcterms:created>
  <dcterms:modified xsi:type="dcterms:W3CDTF">2015-01-29T11:55:00Z</dcterms:modified>
</cp:coreProperties>
</file>