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A3E" w:rsidRPr="00E22F59" w:rsidRDefault="003D5A3E" w:rsidP="00DC4C62">
      <w:pPr>
        <w:keepNext/>
        <w:keepLines/>
        <w:widowControl w:val="0"/>
        <w:spacing w:before="0" w:after="0" w:line="272" w:lineRule="atLeast"/>
        <w:textAlignment w:val="baseline"/>
        <w:rPr>
          <w:rFonts w:eastAsia="Times New Roman" w:cs="Arial"/>
          <w:b/>
          <w:bCs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b/>
          <w:bCs/>
          <w:i/>
          <w:color w:val="000000"/>
          <w:szCs w:val="24"/>
          <w:lang w:eastAsia="it-IT"/>
        </w:rPr>
        <w:t xml:space="preserve">DECRETO-LEGGE 21 giugno 2013, n. 69 Disposizioni urgenti per il rilancio dell'economia. (13G00116) </w:t>
      </w:r>
    </w:p>
    <w:p w:rsidR="003D5A3E" w:rsidRPr="00E22F59" w:rsidRDefault="003D5A3E" w:rsidP="00DC5C77">
      <w:pPr>
        <w:keepNext/>
        <w:keepLines/>
        <w:widowControl w:val="0"/>
        <w:spacing w:before="0" w:after="0" w:line="272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iCs/>
          <w:color w:val="058940"/>
          <w:szCs w:val="24"/>
          <w:bdr w:val="none" w:sz="0" w:space="0" w:color="auto" w:frame="1"/>
          <w:lang w:eastAsia="it-IT"/>
        </w:rPr>
        <w:t>(GU n.144 del 21-6-2013 - Suppl. Ordinario n. 50)</w:t>
      </w:r>
    </w:p>
    <w:p w:rsidR="003D5A3E" w:rsidRPr="00E22F59" w:rsidRDefault="003D5A3E" w:rsidP="00DC5C77">
      <w:pPr>
        <w:keepNext/>
        <w:keepLines/>
        <w:widowControl w:val="0"/>
        <w:spacing w:before="0" w:after="0" w:line="272" w:lineRule="atLeast"/>
        <w:textAlignment w:val="baseline"/>
        <w:rPr>
          <w:rFonts w:eastAsia="Times New Roman" w:cs="Arial"/>
          <w:i/>
          <w:color w:val="333333"/>
          <w:szCs w:val="24"/>
          <w:lang w:eastAsia="it-IT"/>
        </w:rPr>
      </w:pPr>
      <w:r w:rsidRPr="00E22F59">
        <w:rPr>
          <w:rFonts w:eastAsia="Times New Roman" w:cs="Arial"/>
          <w:i/>
          <w:color w:val="333333"/>
          <w:szCs w:val="24"/>
          <w:bdr w:val="none" w:sz="0" w:space="0" w:color="auto" w:frame="1"/>
          <w:lang w:eastAsia="it-IT"/>
        </w:rPr>
        <w:t> 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990000"/>
          <w:szCs w:val="24"/>
          <w:lang w:eastAsia="it-IT"/>
        </w:rPr>
      </w:pPr>
      <w:r w:rsidRPr="00E22F59">
        <w:rPr>
          <w:rFonts w:eastAsia="Times New Roman" w:cs="Arial"/>
          <w:i/>
          <w:color w:val="990000"/>
          <w:szCs w:val="24"/>
          <w:lang w:eastAsia="it-IT"/>
        </w:rPr>
        <w:t xml:space="preserve">Vigente al: 21-6-2013  </w:t>
      </w:r>
    </w:p>
    <w:p w:rsidR="00DC4C62" w:rsidRDefault="00DC4C62" w:rsidP="00DC5C77">
      <w:pPr>
        <w:keepNext/>
        <w:keepLines/>
        <w:widowControl w:val="0"/>
        <w:spacing w:before="0" w:after="0" w:line="272" w:lineRule="atLeast"/>
        <w:textAlignment w:val="baseline"/>
        <w:rPr>
          <w:rFonts w:eastAsia="Times New Roman" w:cs="Arial"/>
          <w:i/>
          <w:color w:val="333333"/>
          <w:szCs w:val="24"/>
          <w:bdr w:val="none" w:sz="0" w:space="0" w:color="auto" w:frame="1"/>
          <w:lang w:eastAsia="it-IT"/>
        </w:rPr>
      </w:pPr>
    </w:p>
    <w:p w:rsidR="00DC4C62" w:rsidRDefault="00DC5C77" w:rsidP="00DC5C77">
      <w:pPr>
        <w:keepNext/>
        <w:keepLines/>
        <w:widowControl w:val="0"/>
        <w:spacing w:before="0" w:after="0" w:line="272" w:lineRule="atLeast"/>
        <w:textAlignment w:val="baseline"/>
        <w:rPr>
          <w:rFonts w:eastAsia="Times New Roman" w:cs="Arial"/>
          <w:i/>
          <w:color w:val="333333"/>
          <w:szCs w:val="24"/>
          <w:bdr w:val="none" w:sz="0" w:space="0" w:color="auto" w:frame="1"/>
          <w:lang w:eastAsia="it-IT"/>
        </w:rPr>
      </w:pPr>
      <w:r w:rsidRPr="00E22F59">
        <w:rPr>
          <w:rFonts w:eastAsia="Times New Roman" w:cs="Arial"/>
          <w:i/>
          <w:color w:val="333333"/>
          <w:szCs w:val="24"/>
          <w:bdr w:val="none" w:sz="0" w:space="0" w:color="auto" w:frame="1"/>
          <w:lang w:eastAsia="it-IT"/>
        </w:rPr>
        <w:t>CAP</w:t>
      </w:r>
      <w:r w:rsidRPr="00E22F59">
        <w:rPr>
          <w:rFonts w:eastAsia="Times New Roman" w:cs="Arial"/>
          <w:i/>
          <w:color w:val="333333"/>
          <w:szCs w:val="24"/>
          <w:bdr w:val="none" w:sz="0" w:space="0" w:color="auto" w:frame="1"/>
          <w:lang w:eastAsia="it-IT"/>
        </w:rPr>
        <w:tab/>
        <w:t xml:space="preserve"> </w:t>
      </w:r>
      <w:r w:rsidR="00DC4C62">
        <w:rPr>
          <w:rFonts w:eastAsia="Times New Roman" w:cs="Arial"/>
          <w:i/>
          <w:color w:val="333333"/>
          <w:szCs w:val="24"/>
          <w:bdr w:val="none" w:sz="0" w:space="0" w:color="auto" w:frame="1"/>
          <w:lang w:eastAsia="it-IT"/>
        </w:rPr>
        <w:t>III </w:t>
      </w:r>
    </w:p>
    <w:p w:rsidR="003D5A3E" w:rsidRPr="00DC4C62" w:rsidRDefault="003D5A3E" w:rsidP="00DC5C77">
      <w:pPr>
        <w:keepNext/>
        <w:keepLines/>
        <w:widowControl w:val="0"/>
        <w:spacing w:before="0" w:after="0" w:line="272" w:lineRule="atLeast"/>
        <w:textAlignment w:val="baseline"/>
        <w:rPr>
          <w:rFonts w:eastAsia="Times New Roman" w:cs="Arial"/>
          <w:i/>
          <w:color w:val="333333"/>
          <w:szCs w:val="24"/>
          <w:lang w:eastAsia="it-IT"/>
        </w:rPr>
      </w:pPr>
      <w:r w:rsidRPr="00E22F59">
        <w:rPr>
          <w:rFonts w:eastAsia="Times New Roman" w:cs="Arial"/>
          <w:i/>
          <w:color w:val="333333"/>
          <w:szCs w:val="24"/>
          <w:bdr w:val="none" w:sz="0" w:space="0" w:color="auto" w:frame="1"/>
          <w:lang w:eastAsia="it-IT"/>
        </w:rPr>
        <w:t>MISURE PER IL RILANCIO DELLE INFRASTRUTTURE</w:t>
      </w:r>
    </w:p>
    <w:p w:rsidR="00DC4C62" w:rsidRDefault="00DC4C62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333333"/>
          <w:szCs w:val="24"/>
          <w:lang w:eastAsia="it-IT"/>
        </w:rPr>
      </w:pPr>
    </w:p>
    <w:p w:rsidR="00DC4C62" w:rsidRDefault="00DC4C62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333333"/>
          <w:szCs w:val="24"/>
          <w:lang w:eastAsia="it-IT"/>
        </w:rPr>
      </w:pP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Art. 18</w:t>
      </w: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(Sblocca cantieri, manutenzione reti e  territorio  e  fondo  piccoli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Comuni)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1. Per consentir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>e nell'anno 2013 la continuità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dei cantieri in corso ovvero il perfezionamento degli atti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contrattuali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finalizzati all'avvio d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ei lavori e' istituito nello stato  di  previsione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nistero delle infrastrutture e dei trasporti un Fondo con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una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dotazione complessiva pari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 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2.06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9 milioni di euro, di cui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335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milioni di euro per l'anno 2013, 405 milioni di euro per l'anno 2014,652 milioni di euro per l'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anno 2015, 535 milioni di euro per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l'anno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2016 e 142 milioni di euro per l'anno 2017. </w:t>
      </w:r>
    </w:p>
    <w:p w:rsidR="003D5A3E" w:rsidRPr="00E22F59" w:rsidRDefault="00DC5C77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2. Con uno o più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decreti del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 Ministro delle infrastrutture e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trasporti, di concerto con il Ministro dell'economia e delle finanze,da emanarsi entro trenta giorni da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lla data di entrata in vigore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del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presente decreto, si provvede all'individuazione degli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specifici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interventi da finanziare e all'assegnazione delle risorse occorrenti,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nei limiti delle disponibilità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an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nuali del Fondo di cui al comma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1.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Gli interventi finanziabili ai sensi del presente comma riguardano il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potenziamento dei nodi, dello standard di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interoperabilità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corridoi europei e il miglior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amento delle prestazioni della rete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dei servizi ferroviari, il collegamento ferroviario funzionale tra la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Regio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ne Piemonte e la Valle d'Aosta, il superamento di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criticità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sulle infrastrutture viarie conce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rnenti ponti e gallerie, l'asse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collegamento tra la strada statale 6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40 e l'autostrada A19 Agrigento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-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Caltanissetta, gli assi autostradali Pedemontana Veneta e Tangenziale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Esterna Est di Milano. Per quest'ultimo intervento, l'atto aggiuntivo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di aggiornamento della convenzione conseguente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all'assegnazione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finanziamento e' approvato con decreto del Ministro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delle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infrastrutture e dei trasporti di concerto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con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il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Ministro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dell'economia e delle finanze da adottarsi entro trenta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 giorni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dalla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trasmissi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one dell'atto convenzionale ad opera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dell'amministrazione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concedente. </w:t>
      </w:r>
    </w:p>
    <w:p w:rsidR="003D5A3E" w:rsidRPr="00E22F59" w:rsidRDefault="00C037CB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>
        <w:rPr>
          <w:rFonts w:eastAsia="Times New Roman" w:cs="Arial"/>
          <w:i/>
          <w:color w:val="000000"/>
          <w:szCs w:val="24"/>
          <w:lang w:eastAsia="it-IT"/>
        </w:rPr>
        <w:t xml:space="preserve"> 3. Con delibere CIPE, da adottarsi entro quarantacinque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giorni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dalla data di entrata 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in vigore del presente decreto possono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essere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finanziati, a valer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e sul fondo di cui al comma 1, nei limiti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delle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risorse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 annualmente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disponibili,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l'asse viario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Quadrilatero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Umbria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-Marche, la tratta Colosseo - Piazza Venezia della linea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>
        <w:rPr>
          <w:rFonts w:eastAsia="Times New Roman" w:cs="Arial"/>
          <w:i/>
          <w:color w:val="000000"/>
          <w:szCs w:val="24"/>
          <w:lang w:eastAsia="it-IT"/>
        </w:rPr>
        <w:t>della metropolitana di Roma, la linea M4  della metropolitana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>
        <w:rPr>
          <w:rFonts w:eastAsia="Times New Roman" w:cs="Arial"/>
          <w:i/>
          <w:color w:val="000000"/>
          <w:szCs w:val="24"/>
          <w:lang w:eastAsia="it-IT"/>
        </w:rPr>
        <w:t>Milano, il collegamento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Milano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-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Venezia secondo lotto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Rho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-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Monza,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nonché</w:t>
      </w:r>
      <w:r>
        <w:rPr>
          <w:rFonts w:eastAsia="Times New Roman" w:cs="Arial"/>
          <w:i/>
          <w:color w:val="000000"/>
          <w:szCs w:val="24"/>
          <w:lang w:eastAsia="it-IT"/>
        </w:rPr>
        <w:t>, qualora non risultino attivabili altre fonti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finanziamento, la linea 1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della </w:t>
      </w:r>
      <w:r>
        <w:rPr>
          <w:rFonts w:eastAsia="Times New Roman" w:cs="Arial"/>
          <w:i/>
          <w:color w:val="000000"/>
          <w:szCs w:val="24"/>
          <w:lang w:eastAsia="it-IT"/>
        </w:rPr>
        <w:t>metropolitana di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Napoli,  l'asse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autostradale </w:t>
      </w:r>
      <w:proofErr w:type="spellStart"/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Ragusa-Catania</w:t>
      </w:r>
      <w:proofErr w:type="spellEnd"/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e la trat</w:t>
      </w:r>
      <w:r>
        <w:rPr>
          <w:rFonts w:eastAsia="Times New Roman" w:cs="Arial"/>
          <w:i/>
          <w:color w:val="000000"/>
          <w:szCs w:val="24"/>
          <w:lang w:eastAsia="it-IT"/>
        </w:rPr>
        <w:t>ta Cancello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-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proofErr w:type="spellStart"/>
      <w:r>
        <w:rPr>
          <w:rFonts w:eastAsia="Times New Roman" w:cs="Arial"/>
          <w:i/>
          <w:color w:val="000000"/>
          <w:szCs w:val="24"/>
          <w:lang w:eastAsia="it-IT"/>
        </w:rPr>
        <w:t>Frasso</w:t>
      </w:r>
      <w:proofErr w:type="spellEnd"/>
      <w:r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proofErr w:type="spellStart"/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Telesino</w:t>
      </w:r>
      <w:proofErr w:type="spellEnd"/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della linea AV/AC Napoli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-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Bari.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lastRenderedPageBreak/>
        <w:t xml:space="preserve">4. Le risorse </w:t>
      </w:r>
      <w:r w:rsidR="00E22F59" w:rsidRPr="00E22F59">
        <w:rPr>
          <w:rFonts w:eastAsia="Times New Roman" w:cs="Arial"/>
          <w:i/>
          <w:color w:val="000000"/>
          <w:szCs w:val="24"/>
          <w:lang w:eastAsia="it-IT"/>
        </w:rPr>
        <w:t>già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 assegnate con la delibera CIPE n. 88/2010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al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"Corridoio tirrenico meri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dionale Al2 - Appia e bretella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autostradale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Cisterna </w:t>
      </w:r>
      <w:proofErr w:type="spellStart"/>
      <w:r w:rsidRPr="00E22F59">
        <w:rPr>
          <w:rFonts w:eastAsia="Times New Roman" w:cs="Arial"/>
          <w:i/>
          <w:color w:val="000000"/>
          <w:szCs w:val="24"/>
          <w:lang w:eastAsia="it-IT"/>
        </w:rPr>
        <w:t>Valmontone</w:t>
      </w:r>
      <w:proofErr w:type="spellEnd"/>
      <w:r w:rsidRPr="00E22F59">
        <w:rPr>
          <w:rFonts w:eastAsia="Times New Roman" w:cs="Arial"/>
          <w:i/>
          <w:color w:val="000000"/>
          <w:szCs w:val="24"/>
          <w:lang w:eastAsia="it-IT"/>
        </w:rPr>
        <w:t>" sono indistintamente utilizzabili per i lotti in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cui e' articolata l'ope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ra. L'opera, interamente messa a gara,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E22F59" w:rsidRPr="00E22F59">
        <w:rPr>
          <w:rFonts w:eastAsia="Times New Roman" w:cs="Arial"/>
          <w:i/>
          <w:color w:val="000000"/>
          <w:szCs w:val="24"/>
          <w:lang w:eastAsia="it-IT"/>
        </w:rPr>
        <w:t>può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essere realizzata e finanziata per lotti funzionali, senza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alcun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obbligo del concedente nei confronti del concessionario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al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finanziamento delle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tratte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 non coperte ove nei tre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anni successivi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all'aggiudicazione non vengano reperite le risorse necessarie.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5. Per assicurare la 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>continuità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funzionale e per lo sviluppo degli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investimenti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previst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i nella Convenzione vigente relativa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alla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realizzazione e gestione delle tratte autostradali A24 e A25  "Strade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dei Parchi", a valere sul Fondo di cui al comma 1, ed in deroga  alla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procedura di cui al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comma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 2, e' destinato alla 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società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concessionaria, secondo le 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>modalità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 previste dal Verbale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d'Intesa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sottoscritto da ANAS S.p.A. e Strada dei Parchi S.p.A. il 16 dicembre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2010, l'importo complessi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vo di 90,7 milioni di euro , in ragione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di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82,2 milioni di euro per l'anno 2013 e 8,5 milioni di euro per l'anno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2014, di cui 34,2 milioni di euro quale contributo dovuto dallo Stato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e 56,5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milioni di euro in via di anticipazione a fronte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contributo dovuto dalla Regione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 Lazio, dalla Provincia e dal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Comune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di R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oma ai sensi della Convenzione. Le risorse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anticipa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te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vengono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restituite dalla Regione e dagli enti locali interessati entro il  31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dicembre 2015, con versa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mento all'entrata del bilancio </w:t>
      </w:r>
      <w:proofErr w:type="spellStart"/>
      <w:r w:rsidR="00C037CB">
        <w:rPr>
          <w:rFonts w:eastAsia="Times New Roman" w:cs="Arial"/>
          <w:i/>
          <w:color w:val="000000"/>
          <w:szCs w:val="24"/>
          <w:lang w:eastAsia="it-IT"/>
        </w:rPr>
        <w:t>dell</w:t>
      </w:r>
      <w:proofErr w:type="spellEnd"/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Stato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per la succ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essiva riassegnazione al Fondo di cui all'articolo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32,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comma 1, del decreto legge 6  lugl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io  2011  n. 98, convertito,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con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modificazioni, dalla legge 15 luglio 2011, n. 111.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6. Entro il 30 ot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tobre 2013 viene sottoposto al CIPE il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progetto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definitivo della tratta Colosseo - Piazza Venezia della linea C della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metropolitana di Roma, da fi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nanziarsi a valere sul Fondo di cui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al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comma 1 a condizione che la tratta completata della stessa linea C da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Pantano a Centocelle sia messa in esercizio entro il 15 ottobre 2013.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7. Nelle more dell'approvazion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e del Contratto di Programma -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parte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investi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menti 2012 -2016  sottoscritto con RFI e'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autorizzata  la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contrattua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lizzazione degli interventi per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la  sicurezza  ferroviaria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immediatam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ente cantierabili per l'importo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>già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 disponibile di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300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milioni di euro di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 cui al decreto del Presidente del Consiglio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dei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Ministri </w:t>
      </w:r>
      <w:proofErr w:type="spellStart"/>
      <w:r w:rsidRPr="00E22F59">
        <w:rPr>
          <w:rFonts w:eastAsia="Times New Roman" w:cs="Arial"/>
          <w:i/>
          <w:color w:val="000000"/>
          <w:szCs w:val="24"/>
          <w:lang w:eastAsia="it-IT"/>
        </w:rPr>
        <w:t>l°</w:t>
      </w:r>
      <w:proofErr w:type="spellEnd"/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marzo 2012, pubblicato nella Gazzetta Ufficiale 23 maggio</w:t>
      </w:r>
      <w:r w:rsidR="00DC5C77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2012, n. 119.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8. Per innalzare il liv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ello di sicurezza degli edifici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scolastici,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fer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mo restando quanto previsto dall'articolo 53, comma 5,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decreto-legge 9 febbrai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o 2012, n. 5, convertito, con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modificazioni,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dall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a legge 4 aprile 2012, n.35, l'INAIL, nell'ambito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degli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investimenti immobiliari pr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evisti dal piano di impiego dei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fondi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disponibili di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cui all'articolo 65 della legge 30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aprile 1969,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n.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153, destina fino a 100 milioni </w:t>
      </w:r>
    </w:p>
    <w:p w:rsidR="003D5A3E" w:rsidRPr="00E22F59" w:rsidRDefault="00C037CB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>
        <w:rPr>
          <w:rFonts w:eastAsia="Times New Roman" w:cs="Arial"/>
          <w:i/>
          <w:color w:val="000000"/>
          <w:szCs w:val="24"/>
          <w:lang w:eastAsia="it-IT"/>
        </w:rPr>
        <w:t>di euro per ciascuno degli anni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dal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2014 al 2016 ad u</w:t>
      </w:r>
      <w:r>
        <w:rPr>
          <w:rFonts w:eastAsia="Times New Roman" w:cs="Arial"/>
          <w:i/>
          <w:color w:val="000000"/>
          <w:szCs w:val="24"/>
          <w:lang w:eastAsia="it-IT"/>
        </w:rPr>
        <w:t>n piano di edilizia scolastica, su proposta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della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>
        <w:rPr>
          <w:rFonts w:eastAsia="Times New Roman" w:cs="Arial"/>
          <w:i/>
          <w:color w:val="000000"/>
          <w:szCs w:val="24"/>
          <w:lang w:eastAsia="it-IT"/>
        </w:rPr>
        <w:t>Presidenza del Consiglio dei Ministri d'intesa con i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Ministeri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>
        <w:rPr>
          <w:rFonts w:eastAsia="Times New Roman" w:cs="Arial"/>
          <w:i/>
          <w:color w:val="000000"/>
          <w:szCs w:val="24"/>
          <w:lang w:eastAsia="it-IT"/>
        </w:rPr>
        <w:t>dell'istruzione,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dell'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>università</w:t>
      </w:r>
      <w:r>
        <w:rPr>
          <w:rFonts w:eastAsia="Times New Roman" w:cs="Arial"/>
          <w:i/>
          <w:color w:val="000000"/>
          <w:szCs w:val="24"/>
          <w:lang w:eastAsia="it-IT"/>
        </w:rPr>
        <w:t>' e della ricerca e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delle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infrastrutture e dei trasporti. </w:t>
      </w:r>
    </w:p>
    <w:p w:rsidR="004D06F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lastRenderedPageBreak/>
        <w:t xml:space="preserve">9. A valere sul Fondo di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cui al comma 1, in deroga alla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procedura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indica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ta al comma 2, l'importo di 100 milioni di euro per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l'anno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201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4, da iscriversi nello stato di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previ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sione  del Ministero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Infrastrutture e dei Trasporti, e'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 xml:space="preserve"> destinato alla  realizzazione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C037CB">
        <w:rPr>
          <w:rFonts w:eastAsia="Times New Roman" w:cs="Arial"/>
          <w:i/>
          <w:color w:val="000000"/>
          <w:szCs w:val="24"/>
          <w:lang w:eastAsia="it-IT"/>
        </w:rPr>
        <w:t>primo Programma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"6000 Campanili" concernente interventi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infrastrutturali di adeguamento, ristrutturazione e nuova costruzione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di edifici pubblici, ovvero d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i realizzazione e manutenzione di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reti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viarie 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>nonché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 salvagua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rdia e messa in sicurezza del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territorio.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Possono accedere al finanziamento solo gli interventi muniti di tutti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 pareri, autorizzazioni, perm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essi e nulla osta previsti dal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decreto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legislativo 12 aprile 2006, n. 163 e dal decreto del Presidente della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Repubblica 5 ottobre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2010, n. 207. Entro 30 giorni dall'entrata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v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igore del presente decreto,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on apposita convenzione tra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il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Ministero delle infrastrutture e dei trasporti - Dipartimento per  le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infrastrutture, gli af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fari generali e il personale -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e  l'ANCI,  da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approvare con decreto del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Mini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stro delle infrastrutture 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trasporti e pubblicare sulla Gazzet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ta Ufficiale, sono disciplinati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criteri per l'accesso all'utilizzo delle risorse degli interventi che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fanno parte del Programma. I Comuni con popolazione inferiore a 5.000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abitanti, per il tramite dell'Associazione Nazionale dei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Comuni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Italiani (ANCI), presentano entro 60 giorni dalla pubblicazione sulla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gazzetta Ufficiale della Repubblica italiana  della  sopra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citata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convenzion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e, le richieste di contributo finanziario al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Ministero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delle infrastrutture e dei trasporti. Il contributo richiesto per  il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singolo progetto non 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>può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es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sere inferiore a 500.000 euro 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maggiore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di 1.000.000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di euro e il costo totale del singolo intervento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può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superare il contributo richiesto soltanto nel caso in cui le  risorse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finanziarie 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ggiuntive necessari  siano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E22F59" w:rsidRPr="00E22F59">
        <w:rPr>
          <w:rFonts w:eastAsia="Times New Roman" w:cs="Arial"/>
          <w:i/>
          <w:color w:val="000000"/>
          <w:szCs w:val="24"/>
          <w:lang w:eastAsia="it-IT"/>
        </w:rPr>
        <w:t>già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immediatamente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disponibili e spendibili da parte del Comune proponente. Ogni  Comune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può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presentare un solo progetto. Il Programma degli  interventi  che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accedono al finanziamento e' approvato con decreto del Ministro delle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infrastrutture e dei trasporti. </w:t>
      </w:r>
    </w:p>
    <w:p w:rsidR="009B67BA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10. Fermo res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tando quanto previsto dal comma 2,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  decreto  del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Ministro  delle  in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frastrutture  e  dei  trasporti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e'  approvato  il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programma degli interventi di manutenzione  straordinaria  di  ponti,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viadotti e g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allerie della rete stradale di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in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teresse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nazionale  in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gestione ad ANAS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SpA con l'individuazione delle relative risorse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apposita convenzione che discipl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ina i rapporti tra Ministero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infr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astrutture e dei  trasporti 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ANAS  SpA  per  l'attuazione  del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programma nei tempi previsti e le relative 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>modalità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 monitoraggio.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11. Il mancato conseguimento, alla data del 31 dicembre 2013, delle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finalità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indicate al comma 1, determina la revoca del  finanziamento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ssegnato ai sensi del presente articolo. Con 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provvedimenti  di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assegnazione delle risorse di cui a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i commi 2 e 3 sono  stabilite,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ordine a ciascun intervento, le 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>modalità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di utilizzo delle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risorse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assegnate, di monitoraggio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ell'avanzamento dei lavori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e di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applicazione di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misure di revoca. Le risorse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revocate  confluiscono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nel Fondo di cui all'articolo 32, comma 1, del decreto-legge 6 luglio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2011, n. 98, convert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ito, con modificazioni,  dalla legge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15  luglio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2011, n. 111.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12. Le risorse assegnate a valer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e sul Fondo di cui al comma 1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non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possono essere utilizzate per la risoluzione di contenziosi.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lastRenderedPageBreak/>
        <w:t xml:space="preserve">  13. Agli oneri derivanti dal comma 1 si provvede: quanto a euro 235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milioni per l'anno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201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3, mediante corrispondente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riduzione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dell'autorizzazione di spesa di cui all'articolo 1, comma 213,  della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legge 24 dicembre 2012, n.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228; quanto a euro 50 milioni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per  l'anno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2013, a euro 120 milioni per ciascuno degli anni 2014 e 2015 e a euro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142  milion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i per l'anno 2016, mediante corrispondente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riduzione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dell'autorizzazione di spesa di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cui all'articolo 5, comma  1,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della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legge 6 febbraio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2009, n. 7; quanto a  euro 96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milioni  per  l'anno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2014, a euro 258 milioni per l'an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no 2015, a euro 143 milione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per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l'anno 2016  e  a euro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142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milioni per l'anno 2017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mediante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corris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pondente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ridu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zione dell'autorizzazione di spesa di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cui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all'articolo 1, comma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208, della legge 24 dicembre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2012,  n.  228;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quanto a e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uro 50 milioni per l'anno 2013, a euro 189 milioni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per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l'anno 2014, a euro 274 milioni per l'anno 2015 e a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euro 250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milioni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per l'anno 2016 mediante corrispondente utilizzo delle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risorse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assegnate dal CIPE in favore del secondo lotto del Terzo  Valico  dei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Giovi a valere sul Fondo di cui all’articolo 32, comma 1, del decreto legge 6 luglio 2011, n.  98,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convertito,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  modificazioni,  dalla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legge 15 luglio 2011, n. 111.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14. Il Ministro del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l'economia e delle finanze e'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autorizzato  ad</w:t>
      </w:r>
      <w:r w:rsidR="004D06F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apportare, con propri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decreti,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negli stati di previsione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Minist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eri interessati, le variazioni di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bil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ancio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conseguenti  alla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ripartizione del Fondo di cui al comma 1.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Art.19</w:t>
      </w: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(Disposizioni in materia di concessioni e defiscalizzazione)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1. Al decreto legislativo 12 aprile 2006, n. 163, sono apportate le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seguenti modificazioni: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a) all'articolo 143: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1) al comma 5 e' aggiunto,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in fine, il seguente periodo: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"All'atto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della consegna dei lavori il soggetto concedente dichiara di disporre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di tutte le autorizzazioni, licenze, abilitazioni, nulla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osta,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permessi o altri atti di consenso comunque denominati previsti  dalla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normativa vigente 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che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detti  atti  sono  legittimi, efficaci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validi.",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2) al comma 8, le parole: "o nuove condizioni per l'esercizio delle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attività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previste nella concessione, quando determinano una modifica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dell'equilibrio de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l piano", sono sostituite dalle seguenti: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"o  che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comunque incidono sull'equilibrio del piano economico finanziario";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3) dopo il comma 8, e' inserito il seguente: </w:t>
      </w:r>
    </w:p>
    <w:p w:rsidR="003D5A3E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"8-bis. Ai fini della applicazio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ne delle  disposizioni  di cui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al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comma 8 del presente articolo, la convenzione definisce i presupposti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e le condizioni d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i base del piano  economico finanziario le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cui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variazioni non imputabili al conc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essionario, qualora determinino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una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modifica dell'equilibrio del piano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, comportano la sua  revisione.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La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convenzione contiene inoltre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una definizione di equilibrio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economico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finanziario che faccia riferimento ad indicatori di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redditività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e di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capacità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 rimborso del debito,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nonché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la procedura di verifica  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la cadenza temporale degli adempimenti connessi.";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b) all'articolo 144: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1) al comma 3-bis, e' aggiunto, in fine, il seguente periodo: </w:t>
      </w:r>
    </w:p>
    <w:p w:rsidR="009B67BA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lastRenderedPageBreak/>
        <w:t xml:space="preserve">  "Per le concessioni da affidarsi con la  procedura  ristretta,  nel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bando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può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essere previsto che l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'amministrazione aggiudicatrice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può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indire, prima de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lla  scadenza del  termine di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presentazione  delle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offerte, u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na consultazione preliminare con gli operatori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economici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invitati a presentare le offerte, al fine di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verificare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l'insussistenza di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criticità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 progetto posto a base di gara sotto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il prof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ilo della </w:t>
      </w:r>
      <w:proofErr w:type="spellStart"/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finanziabilità</w:t>
      </w:r>
      <w:proofErr w:type="spellEnd"/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, e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può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provvedere, a seguito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della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consultazione, ad adeguare gli atti di gara aggiornando il termine di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presentazione delle offerte, che non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può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essere inferiore a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trenta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giorni decorrenti dalla relativa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comunicazione agli interessati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Non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può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essere oggetto di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consultazione  l'importo  delle misure  di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defiscalizzazione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di cui all'articolo 18 della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legge  12  novembre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2011, n. 183, e all'articolo 33 del decreto-legge 18 ottobre 2012, n.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179, convertito, con modificazioni, dalla legge 17 dicembre 2012, n.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221,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nonché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l'importo dei contributi pubblici, ove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previsti."  2)dopo il comma 3-bis, sono inseriti i seguenti: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"3-ter. Il bando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può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prevedere che l'offerta sia corredata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dalla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dichi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arazione sottoscritta da uno 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più istituti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fin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anziatori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manifestazione di interesse a  finanziare l'operazione, anche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considerazione dei cont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enuti dello schema di contratto 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l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piano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economico-finanziario.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3-quater. L'amministrazio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ne aggiudicatrice  prevede nel bando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gara che il cont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ratto di concessione stabilisca la risoluzione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rapporto in caso di mancata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s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ottoscrizione del contratto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finanziamento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o della sottoscrizione o collocamento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delle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obbligazioni di progetto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di cui all'articolo 157, entro un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congruo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termine fissato dal bando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medesi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mo, comunque non superiore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ventiquattro mesi, decorrente dalla data di approvazione del progetto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definitivo. Resta salva la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facoltà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 concessionario di reperire la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liquidità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necessaria alla realizzazione dell'investimento attraverso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altre forme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finanziamento  previste dalla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normativa  vigente,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purché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sottoscritte entro lo stesso termine. Nel caso di risoluzione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del rapporto ai sensi del primo periodo, il concessionario non 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avrà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diritto ad alcun rimborso delle spese sostenute, ivi  incluse  quelle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relative  alla  proget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tazione  definitiva. Il bando di gara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può altresì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prevedere che in caso di parziale finanziamento del progetto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e comunque per  uno  stralcio tecnicamente ed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economicamente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funzionale, il contratto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di concessione rimane valido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limitatamente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alla parte che  regola  la  real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izzazione  e  gestione del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medesimo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stralcio funzionale.";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c) all'articolo 153, dopo il comma 21 e' aggiunto il seguente: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"21-bis. Al fine di assicurare adeguati livelli di 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bancabilità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il coinvolgimento del siste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ma bancario nell'operazione, si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applicano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in quanto compatibili le disposizioni contenute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all'articolo  144,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commi 3-bis, 3-ter e 3-quater .";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d) all'articolo 174, dopo il comma 4 e' aggiunto il seguente: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"4-bis. Al fine di assicurare adeguati livelli di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bancabilità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e il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coinvolgimento del sistema bancario nell'operazione, si applicano, in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quanto compatibili, le disposizioni contenute all'articolo 144, commi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3-bis, 3-ter e 3-quater.";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e) all'articolo 175 dopo il comma 5 e' aggiunto il seguente: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"5-bis. Al fine di assicurare adeguati livelli di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bancabilità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e il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coinvolgimento del sistema bancario nell'operazione, si applicano, in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quanto compatibili, le disposizioni contenute all'articolo 144, commi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3-bis, 3-ter e 3-quater.".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lastRenderedPageBreak/>
        <w:t>2. Le disposizioni di cui al comma 1, lettere b), c), d) ed e), non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si applicano alle proce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dure in finanza di progetto di cui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agli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articoli 153 e 175 del decreto l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egislativo 12 aprile  2006, n.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163,con bando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già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pubblicato alla data di entrata in vigore del presente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decreto.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3. All'articolo 33 d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el decreto legge  18  ottobre 2012, n.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179,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convertito, con modificazioni, da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lla legge 17 dicembre 2012, n.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221,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sono apportate le seguenti modificazioni: </w:t>
      </w:r>
    </w:p>
    <w:p w:rsidR="009B67BA" w:rsidRDefault="009B67BA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>
        <w:rPr>
          <w:rFonts w:eastAsia="Times New Roman" w:cs="Arial"/>
          <w:i/>
          <w:color w:val="000000"/>
          <w:szCs w:val="24"/>
          <w:lang w:eastAsia="it-IT"/>
        </w:rPr>
        <w:t>a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) il comma 1, il primo periodo, e' sostituito dal seguente: "1. Al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fine di favorire in via sperimen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tale la realizzazione di nuove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opere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>
        <w:rPr>
          <w:rFonts w:eastAsia="Times New Roman" w:cs="Arial"/>
          <w:i/>
          <w:color w:val="000000"/>
          <w:szCs w:val="24"/>
          <w:lang w:eastAsia="it-IT"/>
        </w:rPr>
        <w:t>infrastrutturali di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rileva</w:t>
      </w:r>
      <w:r>
        <w:rPr>
          <w:rFonts w:eastAsia="Times New Roman" w:cs="Arial"/>
          <w:i/>
          <w:color w:val="000000"/>
          <w:szCs w:val="24"/>
          <w:lang w:eastAsia="it-IT"/>
        </w:rPr>
        <w:t>nza strategica nazionale di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importo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>
        <w:rPr>
          <w:rFonts w:eastAsia="Times New Roman" w:cs="Arial"/>
          <w:i/>
          <w:color w:val="000000"/>
          <w:szCs w:val="24"/>
          <w:lang w:eastAsia="it-IT"/>
        </w:rPr>
        <w:t>superiore a 200 milioni di euro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mediante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 l'utilizzazione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contratti di pa</w:t>
      </w:r>
      <w:r>
        <w:rPr>
          <w:rFonts w:eastAsia="Times New Roman" w:cs="Arial"/>
          <w:i/>
          <w:color w:val="000000"/>
          <w:szCs w:val="24"/>
          <w:lang w:eastAsia="it-IT"/>
        </w:rPr>
        <w:t>rtenariato pubblico-privato di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cui  all'articolo  3,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comma 15-ter, del decreto legislat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ivo 12 aprile 2006, n. 163, la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cui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progettazione definitiva sia approvata entro il 31 dicembre 2016, per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i quali non sono previsti contribut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i pubblici a fondo perduto ed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e'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accertata, in esito  alla  pr</w:t>
      </w:r>
      <w:r>
        <w:rPr>
          <w:rFonts w:eastAsia="Times New Roman" w:cs="Arial"/>
          <w:i/>
          <w:color w:val="000000"/>
          <w:szCs w:val="24"/>
          <w:lang w:eastAsia="it-IT"/>
        </w:rPr>
        <w:t>ocedura di cui al comma 2,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la  non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sostenibilità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 piano economico finanziario,  e'  riconosciuto  al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soggetto titolare del contratto di partenariato pubblico privato, ivi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comprese le 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>società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 progetto di cui all'articolo 156 del medesimo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decreto legislativo n. 163 del 2006, un credito di imposta  a  valere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sull'IRES e  sull'IRAP  generate  in  relazione  alla  costruzione  e</w:t>
      </w:r>
      <w:r w:rsidR="008B753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gestione dell'opera". </w:t>
      </w:r>
    </w:p>
    <w:p w:rsidR="009B67BA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b) il comma 2 e' sostituito  dal  seguente:  "2.  Il  CIPE,  previo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parere del NARS  che  allo  scopo  e'  integrato  con  due  ulteriori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componenti designati rispettivamente  dal  Ministro  dell'economia  e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delle finanze e dal Ministro delle infrastrutture e dei trasporti, su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proposta del  Ministro  delle  infrastrutture  e  dei  trasporti,  di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concerto con il Ministro dell'economia e delle finanze,  con  proprie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delibere  individua   l'elenco   delle   opere   che,   per   effetto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dell'applicazione delle misure di cui ai commi 1 e 2-ter,  conseguono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le  condizioni  di  equ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ilibrio economico-finanziario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necessarie a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consentirne il finanziamento, e il valore complessivo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delle opere che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possono 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accedere alle agevolazioni; per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ciascuna infrastruttura sono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inoltre  determinate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le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misure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proofErr w:type="spellStart"/>
      <w:r w:rsidRPr="00E22F59">
        <w:rPr>
          <w:rFonts w:eastAsia="Times New Roman" w:cs="Arial"/>
          <w:i/>
          <w:color w:val="000000"/>
          <w:szCs w:val="24"/>
          <w:lang w:eastAsia="it-IT"/>
        </w:rPr>
        <w:t>agevolative</w:t>
      </w:r>
      <w:proofErr w:type="spellEnd"/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necessarie per la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sostenibilità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 piano  economico  finanziario,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definendone le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modalità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per l'accertamento, per il  relativo  monitoraggio  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nonché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per la loro rideterminazione in caso di miglioramento  dei  parametri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posti a base del piano economico-finanziario e applicando, per quanto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compatibili, i principi e i criteri definiti dal CIPE con le apposite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linee guida  per  l'applicazione  dell'articolo  18  della  legge  12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novembre 2011, n. 183".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c) Il comma 2-ter e' sostituito dal seguente: "Al fine di  favorire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la  realizzazione  di  nuov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>e  opere  infrastrutturali  di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rilevanza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strategica nazionale di importo  superiore  a  200  milioni  di  euro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mediante  l'utilizzazione  dei  contratti  di  partenariato  pubblico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privato di cui all'articolo 3, comma 15-ter, del decreto  legislativo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12 aprile 2006, n. 163, la cui progettazione definitiva sia approvata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entro il 31 dicembre 2016, per le quali e' accertata, in  esito  alla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procedura di  cui  al  comma  2,  la  non  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>sostenibilità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del  piano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economico-finanziario,  e'  riconosciuta  al  soggetto  titolare  del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contratto di partenariato pubblico privato, ivi comprese le  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società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di progetto di cui all'articolo 156 del medesimo decreto  legislativo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n.  163,  al  fine  di   assicurare   la   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>sostenibilità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 economica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dell'operazione di partenariato  pubblico  privato,  l'esenzione  dal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pagamento del  canone  di  concessione  nella  misura necessaria  al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raggiungimento dell'equilibrio del piano economico-finanziario".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lastRenderedPageBreak/>
        <w:t>d) al comma 2-quater, e' aggiunto, in fine,  il  seguente  periodo: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"Le misure di cui al presente  articolo  sono  alternative  a  quelle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previste dall'articolo 18 della legge 12 novembre 2011,  n.  183.  Le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stesse  misure  sono  riconosciute  in  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>conformità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alla  disciplina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comunitaria in materia di aiuti di stato."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4. All'articolo 18 della legge  12  novembre  2011,  n.  183,  sono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apportate le seguenti modificazioni: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a) al comma 2 e' aggiunto, in fine, il seguente  periodo:  "Con  le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modalità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 cui al precedente periodo 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>può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essere 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>altresì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definita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ogni altra disposizione attuativa del presente articolo.";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b) il comma 3 e' abrogato.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5. All'articolo 1, comma 4, del decreto-legge 22  giugno  2012,  n.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83, convertito, con modificazioni, dalla legge 7 agosto 2012, n. 134,</w:t>
      </w:r>
      <w:r w:rsidR="006208F6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le parole: "le disposizioni di cui ai commi 1, 2 e 3" sono sostituite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dalle seguenti "le disposizioni di cui al comma 1".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Art. 20</w:t>
      </w: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(Riprogrammazione interventi  del  Piano  nazionale  della  sicurezza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stradale)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1. Con ricognizione, da completarsi  entro  sessanta  giorni  dalla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data del presente  decreto  legge,  da  effettuarsi  con  i  soggetti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beneficiari,  il  Ministero  delle  Infrastrutture  e  dei  trasporti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verifica lo  stato  di  attuazione  degli  interventi  del  1°  e  2°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Programma annuale di attuazione del Piano Nazionale  della  Sicurezza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Stradale cofinanziati con legge 23 dicembre 1999, n. 488.  Ove  dalla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predetta ricognizione  risultino  interventi  non  ancora  avviati  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corrispondenti finanziamenti ed i  relativi  impegni  di  spesa  sono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revocati con uno o </w:t>
      </w:r>
      <w:r w:rsidR="00E22F59" w:rsidRPr="00E22F59">
        <w:rPr>
          <w:rFonts w:eastAsia="Times New Roman" w:cs="Arial"/>
          <w:i/>
          <w:color w:val="000000"/>
          <w:szCs w:val="24"/>
          <w:lang w:eastAsia="it-IT"/>
        </w:rPr>
        <w:t>più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decreti, di  natura  non  regolamentare,  del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Ministro delle infrastrutture e dei trasporti,  di  concerto  con  il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Ministro dell'economia e delle finanze. </w:t>
      </w:r>
    </w:p>
    <w:p w:rsidR="009B67BA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2.  Le  risorse  derivanti  dalle  revoche  ai  finanziamenti  sono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iscritte nel  bilancio  del  Ministero  delle  infrastrutture  e  dei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trasporti e sono destinate alla realizzazione in  cofinanziamento  di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un programma di interventi di sicurezza stradale,  alla  prosecuzione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 monitoraggio dei Programmi  di  attuazione  del  Piano  Nazionale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della Sicurezza Stradale ed all'implementazione ed  al  miglioramento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del sistema di raccolta dati di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incidentalità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stradale  in  coerenza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 quanto previsto dall'articolo 56 della legge 29 luglio  2010,  n.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120.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3. Le somme relative ai finanziamenti revocati  iscritte  in  conto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residui sono versate all'entrata del bilancio dello Stato per  essere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riassegnate, nel rispetto degli equilibri  di  finanza  pubblica  nel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triennio 2013-2015, per le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finalità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 comma 2.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4. Il programma  da  cofinanziare  e'  definito  sulla  base  delle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proposte formulate dalle Regioni a  seguito  di  specifica  procedura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fondata su criteri di selezione che  tengono  prioritariamente  conto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dell'importanza  degli  interventi  in   termini   di   effetti   sul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miglioramento  della  sicurezza  stradale  e  della  loro   immediata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proofErr w:type="spellStart"/>
      <w:r w:rsidRPr="00E22F59">
        <w:rPr>
          <w:rFonts w:eastAsia="Times New Roman" w:cs="Arial"/>
          <w:i/>
          <w:color w:val="000000"/>
          <w:szCs w:val="24"/>
          <w:lang w:eastAsia="it-IT"/>
        </w:rPr>
        <w:t>cantierabilita</w:t>
      </w:r>
      <w:proofErr w:type="spellEnd"/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'.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5. Il Ministero dell'economia e delle  finanze  e'  autorizzato  ad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apportare le variazioni di bilancio  conseguenti  all'attuazione  del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presente articolo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lastRenderedPageBreak/>
        <w:t>Art. 21</w:t>
      </w: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(Differimento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operatività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garanzia globale di esecuzione)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1. Il termine previsto dall'articolo 357, comma 5, del decreto  del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Presidente della Repubblica 5 ottobre 2010, n. 207,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già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prorogato ai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sensi dell'articolo 1, comma 2, del decreto-legge 6 giugno  2012,  n.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73, convertito, con modificazioni, dalla legge  23  luglio  2012,  n.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119, e' ulteriormente differito al 30 giugno 2014. </w:t>
      </w:r>
    </w:p>
    <w:p w:rsidR="009B67BA" w:rsidRPr="00E22F59" w:rsidRDefault="009B67BA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Art. 22</w:t>
      </w: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(Misure per l'aumento della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produttività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nei porti)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1. All'articolo  5-bis  della  legge  28  gennaio  1994,  n.  84  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successive modificazioni, sono apportate le seguenti modificazioni: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a) al comma 1, primo periodo,  le  parole:  "Nei  siti  oggetto  di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interventi" sono sostituite dalle seguenti: "Nelle  aree  portuali  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marino costiere poste in siti" e il quarto periodo e' sostituito  dal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seguente: "Il decreto di approvazione del Ministero  dell'ambiente  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della tutela del territorio e del mare deve intervenire entro  trenta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giorni  dalla  suddetta  trasmissione,  previo  parere,  solo  se  il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progetto di dragaggio prevede anche il progetto di infrastrutture  di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contenimento  non  comprese  nei  provvedimenti  di  rilascio   della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Valutazione d'impatto ambientale dei  Piani  regolatori  portuali  di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riferimento, o comunque difformi da quelle oggetto dei  provvedimenti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della Commissione di cui all'articolo 8  del  decreto  legislativo  3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aprile 200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6, n. 152 sull'assoggettabilità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o meno del  progetto  alla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valutazione di impatto ambientale";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b) al comma 2, lettera a), le parole: "analoghe al  fondo  naturale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con riferimento al sito di prelievo e" sono soppresse;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c) al comma 2, lettera c), le parole "con le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modalità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previste dal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decreto di cui al comma 6" sono soppresse;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d) al comma 6, le parole: "sentita la Conferenza permanente  per  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rapporti tra lo Stato, le Regioni e le province autonome di Trento  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Bolzano, entro quarantacinque giorni dalla data di entrata in  vigore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della  presente  disposizione,  definisce  con  proprio  decreto   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modalità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e le norme tecniche per i dragaggi dei materiali, anche  al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fine  dell'eventuale  loro  reimpiego,  di  aree  portuali  e  marino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costiere poste in siti  di  bonifica  di  interesse  nazionale"  sono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sostituite dalle seguenti:  "adotta  con  proprio  decreto  le  norme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tecniche applicabili alle operazioni di dragaggio nelle aree portuali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e marino costiere poste in siti di bonifica di interesse nazionale al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fine dell'eventuale reimpiego dei materiali dragati  ed  al  fine  di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quanto previsto dal comma 2 del presente articolo".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lastRenderedPageBreak/>
        <w:t xml:space="preserve">2. Nell'ambito della propria autonomia finanziaria, alle 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autorità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portuali e' consentito di stabilire variazioni in  diminuzione,  fino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all'azzeramento, delle tasse di ancoraggio  e  portuale, 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così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come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adeguate ai sensi del regolamento di cui al  decreto  del  Presidente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della Repubblica 28  maggio  2009,  n.  107, 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nonché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variazioni  in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aumento, fino a un tetto massimo pari al doppio  della  misura  delle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tasse medesime.  L'utilizzo  delle  entrate 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rivenienti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dalla  loro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autonomia impositiva e  tariffaria, 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nonché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la  compensazione,  con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riduzioni  di  spese  correnti,  sono  adeguatamente  esposti   nelle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relazioni di bilancio di previsione e nel  rendiconto  generale.  Nei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casi in  cui  le 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autorità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portuali  si  avvalgano  della  predetta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facoltà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 riduzione della tassa di ancoraggio in  misura  superiore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al settanta per cento,  e'  esclusa  la  </w:t>
      </w:r>
      <w:r w:rsidR="00E22F59" w:rsidRPr="00E22F59">
        <w:rPr>
          <w:rFonts w:eastAsia="Times New Roman" w:cs="Arial"/>
          <w:i/>
          <w:color w:val="000000"/>
          <w:szCs w:val="24"/>
          <w:lang w:eastAsia="it-IT"/>
        </w:rPr>
        <w:t>possibilità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di  pagare  il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tributo con la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modalità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dell'abbonamento annuale.  Il  collegio  dei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revisori  dei  conti  attesta  la 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compatibilità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finanziaria  delle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operazioni poste in essere. Dalla misura non devono derivare nuovi  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maggiori oneri a carico della finanza pubblica.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3. All'articolo 18-bis della legge 28 gennaio 1994, n. 84, al comma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1, dopo le parole: "nei collegamenti stradali e ferroviari nei porti"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sono aggiunte le seguenti: "e gli investimenti necessari  alla  messa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 sicurezza, alla manutenzione e alla  riqualificazione  strutturale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degli ambiti portuali" e le parole: "di 70  milioni  di  euro  annui"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sono sostituite dalle seguenti: "di 90 milioni di euro annui".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Art. 24</w:t>
      </w: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(Modifiche al decreto l</w:t>
      </w:r>
      <w:r w:rsidR="009B67BA">
        <w:rPr>
          <w:rFonts w:eastAsia="Times New Roman" w:cs="Arial"/>
          <w:i/>
          <w:color w:val="000000"/>
          <w:szCs w:val="24"/>
          <w:lang w:eastAsia="it-IT"/>
        </w:rPr>
        <w:t xml:space="preserve">egislativo 8 luglio  2003, n.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188, ed alla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legge 3 luglio 2009, n. 99)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1. All'articolo 17 del decreto legislativo 8 luglio 2003,  n.  188,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sono apportate le seguenti modificazioni: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a) al  comma  1,  le  parole:  "d'intesa",  sono  sostituite  dalla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seguente: "sentita" e le parole: "e' stabilito il canone dovuto" sono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sostituite dalle seguenti:  "approva  la  proposta  del  gestore  per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l'individuazione del canone dovuto";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b) il comma 11 e' sostituito dal seguente:  "11.  Con  uno  o 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più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decreti  del  Ministro  delle  infrastrutture  e  dei  trasporti,  da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pubblicarsi nella Gazzetta Ufficiale della Repubblica italiana,  sono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definiti il quadro per l'accesso all'infrastruttura, i principi e  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procedure per l'assegnazione della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capacità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 cui  all'articolo  27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 presente decreto, per il calcolo del canone ai fini dell'utilizzo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dell'infrastruttura ferroviaria e per i corrispettivi dei servizi  di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cui all'articolo 20 del presente decreto, non  ricompresi  in  quelli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obbligatori inclusi nel canone di accesso all'infrastruttura,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nonché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le regole in materia di servizi di cui al medesimo articolo 20.".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2. Al fine di completare l'adeguamento  della  normativa  nazionale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agli obblighi previsti dalla direttiva 91/440/CEE, all'articolo 5 del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decreto legislativo 8 luglio 2003,  n.  188,  dopo  il  comma  4,  e'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aggiunto il seguente: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"4-bis. La separazione contabile e dei bilanci di cui ai precedenti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commi   del   presente   articolo   deve   fornire   la   trasparente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rappresentazione  delle 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attività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di  servizio   pubblico   e   dei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corrispettivi e/o fondi pubblici percepiti per ogni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attività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.".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lastRenderedPageBreak/>
        <w:t>3. Al fine di semplificare le procedure di accesso al  mercato  nei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segmenti di trasporto nazionale a media e lunga  percorrenza 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nonché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al fine di  integrare  il  recepimento  della  direttiva  2007/58/CE,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all'articolo 59 della legge 23 luglio 2009, n. 99, sono apportate  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seguenti modificazioni: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a) al comma 2, le parole: "diritto di far salire e  scendere"  sono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sostituite dalle seguenti "diritto di far salire o scendere";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b) dopo il comma 4, sono inseriti i seguenti: </w:t>
      </w:r>
    </w:p>
    <w:p w:rsidR="003D5A3E" w:rsidRPr="00E22F59" w:rsidRDefault="009D0593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"4-bis.  L'autorità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 competente,  qualora   venga   accertata   la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c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ompromissione dell'equilibrio economico del  contratto  di  servizio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pubblico, 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può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 richiedere  all'impresa  ferroviaria  oggetto  della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procedura di cui al comma 2, la riscossione di opportuni, trasparenti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e non discriminatori diritti di compensazione. Tale compensazione non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può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 comunque  eccedere  quanto  necessario  per  coprire  i   costi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originati dall'adempimento degli obblighi  di  servizio,  inclusa  la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componente di  remunerazione  del  capitale  investito  prevista  nei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contratti di servizio.  Nel  caso  in  cui  le  imprese  ferroviarie,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interessate dal procedimento di limitazione di cui ai commi  1  e  2,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provvedano al pagamento dei sopra indicati  diritti  alla  competente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autorità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, non sono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più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soggette alle limitazioni sul far  salire  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scendere le persone fintanto che non si incorra  in  nuove  ulteriori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compromissioni dei contratti di  servizio  pubblico  sulle  relazioni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interessate.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4-ter. Si prescinde dalla valutazione di cui ai commi precedenti  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dalle limitazioni conseguenti qualora il  modello  di  esercizio  sia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tale che le fermate intermedie siano a distanza superiore ai 100 Km 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 livelli tariffari applicati risultino di almeno il 20% superiori  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quelli dei servizi a committenza pubblica.".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Art. 25</w:t>
      </w:r>
    </w:p>
    <w:p w:rsidR="003D5A3E" w:rsidRPr="00E22F59" w:rsidRDefault="003D5A3E" w:rsidP="009B67BA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(Misure urgenti di settore in materia di infrastrutture e trasporti)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1. Al fine di assicurare la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continuità dell'attività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 vigilanza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sui concessionari della rete  autostradale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d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  parte del  Ministero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delle infrastrutture e dei trasporti in attuazione dell'articolo 11,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comma 5, secondo periodo, del decreto-legge 29 dicembre 2011, n. 216,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convertito, on modificazioni, dalla legge 24 febbraio 2012, n. 14,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 decreto del Presidente del Consiglio dei  Ministri,  su  proposta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 Ministro delle infrastrutture e dei trasporti, di concerto con  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Ministri  dell'economia  e  delle   finanze   e   per   la   pubblica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amministrazione e la semplificazione, si procede alla individuazione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delle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unità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   personale   trasferito   al   Ministero   delle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infrastrutture e dei trasporti e alla definizione  della  tabella  di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equiparazione del personale trasferito con  quello  appartenente  al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comparto Ministeri  e  all'Area  I  della  dirigenza 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nonché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alla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individuazione delle spese di funz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>ionamento relative all'attività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vigilanza e controllo sui concessionari  autostradali.  Il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p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ersonale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trasferito, cui si applicano, per quanto non espressamente previsto,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le disposizioni di cui all'articolo 36, comma 5, del decreto-legge 6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luglio 2011, n. 98, convertito, con  modificazioni,  dalla  legge  15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luglio  2011, n. 111, mantiene  la  posizione  assicurativa 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già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costituita nell'ambito dell'assicurazione generale obbligatoria,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ovvero delle forme sostitutive o esclusive dell'assicurazione stessa.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lastRenderedPageBreak/>
        <w:t>2. Con il decreto di cui al comma 1 si provvede all'individuazione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delle risorse derivanti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dalle sub concessioni su </w:t>
      </w:r>
      <w:proofErr w:type="spellStart"/>
      <w:r w:rsidR="00717175">
        <w:rPr>
          <w:rFonts w:eastAsia="Times New Roman" w:cs="Arial"/>
          <w:i/>
          <w:color w:val="000000"/>
          <w:szCs w:val="24"/>
          <w:lang w:eastAsia="it-IT"/>
        </w:rPr>
        <w:t>sedime</w:t>
      </w:r>
      <w:proofErr w:type="spellEnd"/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autostradale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e,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ove ne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cessario, di quelle derivanti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dal canone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comunque</w:t>
      </w:r>
      <w:r w:rsidR="009D0593" w:rsidRPr="00E22F59">
        <w:rPr>
          <w:rFonts w:eastAsia="Times New Roman" w:cs="Arial"/>
          <w:i/>
          <w:color w:val="000000"/>
          <w:szCs w:val="24"/>
          <w:lang w:eastAsia="it-IT"/>
        </w:rPr>
        <w:t xml:space="preserve"> corrisposto ad ANAS S.p.A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. ai sensi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ell'articolo  1,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comma  1020,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secondo periodo, della legge  27  dicembre  2006,  n.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296, -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anche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media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nte apposita rideterminazione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della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 q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uota percentuale del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predetto canone da corrispo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ndere </w:t>
      </w:r>
      <w:r w:rsidR="00E22F59" w:rsidRPr="00E22F59">
        <w:rPr>
          <w:rFonts w:eastAsia="Times New Roman" w:cs="Arial"/>
          <w:i/>
          <w:color w:val="000000"/>
          <w:szCs w:val="24"/>
          <w:lang w:eastAsia="it-IT"/>
        </w:rPr>
        <w:t>direttamente ad ANAS S.p.A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. da parte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dei concessionari autos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tradali - destinate agli oneri derivanti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dal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comma 1, da iscrivere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corrispondentemente nello stato di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previsione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del Ministero delle infrastrutture 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e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dei 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>trasporti. ANAS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>S.p.A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.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provvede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 a dare esplicita evidenza tra 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ricavi propri del conto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economico delle entrate acquisite ai sensi del citato comma 1020.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3. ANAS 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>S.p.A.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vers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a, entro il  30  giugno  2013,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all'entrata  del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bilancio dello Stato, pe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r la successiva riassegnazione ad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apposito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capitolo dello stato di previsione del Ministero delle infrastrutture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e dei trasporti  con  decreto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  del  Ministro  dell'economia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e  delle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finanze, la quota relativa al perio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do 1° ottobre-31 dicembre 2012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al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netto delle anticipazioni 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>già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effettuate, dei canoni afferenti  alla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competenza dell'anno 2012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 concernenti le sub concessioni sul </w:t>
      </w:r>
      <w:proofErr w:type="spellStart"/>
      <w:r w:rsidRPr="00E22F59">
        <w:rPr>
          <w:rFonts w:eastAsia="Times New Roman" w:cs="Arial"/>
          <w:i/>
          <w:color w:val="000000"/>
          <w:szCs w:val="24"/>
          <w:lang w:eastAsia="it-IT"/>
        </w:rPr>
        <w:t>sedime</w:t>
      </w:r>
      <w:proofErr w:type="spellEnd"/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autostradale previsti a carico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dei  concessionari  autostradali.  A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decorrere  dal 2013 i canoni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i competenza relativi  alle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sub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concessioni sul </w:t>
      </w:r>
      <w:proofErr w:type="spellStart"/>
      <w:r w:rsidR="00717175">
        <w:rPr>
          <w:rFonts w:eastAsia="Times New Roman" w:cs="Arial"/>
          <w:i/>
          <w:color w:val="000000"/>
          <w:szCs w:val="24"/>
          <w:lang w:eastAsia="it-IT"/>
        </w:rPr>
        <w:t>sedime</w:t>
      </w:r>
      <w:proofErr w:type="spellEnd"/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 autostradale previsti a carico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dei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concessionari autostradali sono versati al bilancio dello  Stato  con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cadenza mensile, entro il mese successivo, nella misura  del  novanta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per cento del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corr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ispondente  periodo  dell'anno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precedente,  salvo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conguaglio da effettuarsi entro il 31 marzo dell'anno successivo. Per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il solo anno di competenza 2013 il termine di versamento delle  prime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sei rate e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' fissato al 31 luglio 2013. Il Ministro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dell'economia  e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delle finanze e' autorizzato ad app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ortare, con  propri  decreti,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le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occorrenti variazioni di bilancio. </w:t>
      </w:r>
    </w:p>
    <w:p w:rsidR="003D5A3E" w:rsidRPr="00E22F59" w:rsidRDefault="00717175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>
        <w:rPr>
          <w:rFonts w:eastAsia="Times New Roman" w:cs="Arial"/>
          <w:i/>
          <w:color w:val="000000"/>
          <w:szCs w:val="24"/>
          <w:lang w:eastAsia="it-IT"/>
        </w:rPr>
        <w:t>4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. Il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 Ministero delle infrastrutture e dei trasporti assume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le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situ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azioni debitorie e  creditorie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relative  alle  funzioni  di  cui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all'articolo 36, comma 2, del decreto-legge 6  luglio  2011,  n.  98,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convertito, con modificazioni, dalla legge 15 luglio 2011, n. 111, ed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all'articolo 11, comma 5, del decreto-legge 29 dicembre 2011, n. 216,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convertito, con modificazioni, dalla legge 24 febbraio 2012,  n.  14,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nonché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l'event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uale contenzioso, sorti a far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data  dal  1°  ottobre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2012.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5. Le 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>disponibilità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residue delle risorse iscritte in bilancio per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l'anno 2012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destinat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e  ai  Contratti  di  servizio 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di  programma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dell'ENAV S.p.A. di cui all'articolo 5, comma 10, del decreto-legge 4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marzo 1989, n. 77,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convertit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o, con modificazioni, dalla legge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5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maggio 1989, n. 160, pos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sono essere utilizzate per la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compensazione</w:t>
      </w:r>
      <w:r w:rsidR="00037FC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dei costi sostenuti dall'ENAV nell'anno 2012, e previsti dai predetti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contratti, per garantire la sicure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zza degli impianti ed operativa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cui all'articolo 11-septies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 del decreto-legge 30 settembre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2005,  n.</w:t>
      </w:r>
      <w:r w:rsid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203, convertito, con modific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azioni, dalla legge 2 dicembre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2005,  n.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248. </w:t>
      </w:r>
    </w:p>
    <w:p w:rsidR="003D5A3E" w:rsidRPr="00E22F59" w:rsidRDefault="00717175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>
        <w:rPr>
          <w:rFonts w:eastAsia="Times New Roman" w:cs="Arial"/>
          <w:i/>
          <w:color w:val="000000"/>
          <w:szCs w:val="24"/>
          <w:lang w:eastAsia="it-IT"/>
        </w:rPr>
        <w:lastRenderedPageBreak/>
        <w:t xml:space="preserve">6. Al fine di superare  lo  stato  di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emergenza derivante  dalla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scadenza delle gestioni commissariali </w:t>
      </w:r>
      <w:r w:rsidR="00E22F59" w:rsidRPr="00E22F59">
        <w:rPr>
          <w:rFonts w:eastAsia="Times New Roman" w:cs="Arial"/>
          <w:i/>
          <w:color w:val="000000"/>
          <w:szCs w:val="24"/>
          <w:lang w:eastAsia="it-IT"/>
        </w:rPr>
        <w:t>già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ope</w:t>
      </w:r>
      <w:r>
        <w:rPr>
          <w:rFonts w:eastAsia="Times New Roman" w:cs="Arial"/>
          <w:i/>
          <w:color w:val="000000"/>
          <w:szCs w:val="24"/>
          <w:lang w:eastAsia="it-IT"/>
        </w:rPr>
        <w:t>ranti per la messa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in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sicurezza delle gran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di dighe senza concessionario,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all'articolo  55,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comma 1-ter, del decreto-legge 24 gennaio 2012, n. 1, convertito, con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modificazioni, dalla legge </w:t>
      </w:r>
      <w:r>
        <w:rPr>
          <w:rFonts w:eastAsia="Times New Roman" w:cs="Arial"/>
          <w:i/>
          <w:color w:val="000000"/>
          <w:szCs w:val="24"/>
          <w:lang w:eastAsia="it-IT"/>
        </w:rPr>
        <w:t>24  marzo  2012, n.  27, dopo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il  primo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periodo e' inserito il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 seguente: "A tal fine la dotazione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organica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del personale del Ministero delle infrastrutture e dei  trasporti  e'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incrementata di un numero corrispondente di posti".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7. All'articolo 36, comma 9, del decreto-legge 6  luglio  2011,  n.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98, convertito, con modificazioni, dalla legge  15  luglio  2011,  n.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111, le parole: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"L'amministratore  unico"  sono  sostituite  dalle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seguenti: "L'organo amministrativo" e le parole "entro il  30  marzo"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sono sostituite dalle seguenti: "entro il 30 novembre". </w:t>
      </w:r>
    </w:p>
    <w:p w:rsidR="003D5A3E" w:rsidRPr="00E22F59" w:rsidRDefault="00717175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>
        <w:rPr>
          <w:rFonts w:eastAsia="Times New Roman" w:cs="Arial"/>
          <w:i/>
          <w:color w:val="000000"/>
          <w:szCs w:val="24"/>
          <w:lang w:eastAsia="it-IT"/>
        </w:rPr>
        <w:t>8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. All'articolo 3</w:t>
      </w:r>
      <w:r>
        <w:rPr>
          <w:rFonts w:eastAsia="Times New Roman" w:cs="Arial"/>
          <w:i/>
          <w:color w:val="000000"/>
          <w:szCs w:val="24"/>
          <w:lang w:eastAsia="it-IT"/>
        </w:rPr>
        <w:t>6, comma 9, del decreto-legge 6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luglio  2011,  n.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98, convertito, con modificazioni,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 dalla legge 15  luglio  2011,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n.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111, le parole: "Entr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o 30 giorni  dall'emanazione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del  decreto  di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approvazione dello statuto" sono sostituite dalle seguenti: "Entro 30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>
        <w:rPr>
          <w:rFonts w:eastAsia="Times New Roman" w:cs="Arial"/>
          <w:i/>
          <w:color w:val="000000"/>
          <w:szCs w:val="24"/>
          <w:lang w:eastAsia="it-IT"/>
        </w:rPr>
        <w:t>giorni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dal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la data di approvazione da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parte  dell'assemblea  del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bilancio dell'esercizio 2012.".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9. Le funzioni ed i compiti di vigilanza sulle  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>attività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 previste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dalla  Convenzione  per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 l'esercizio dei servizi di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collegamento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marittimo con le isole minori  siciliane  stipulata ai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sensi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dell'artic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olo comma 998, della legge  27 dicembre 2006,  n.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296  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dell'articolo 19-ter del decreto-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legge 25 settembre  2009,  n.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135,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convertito, con modificazioni, dalla leg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ge 20 novembre 2009, n.  1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6,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sono attribuiti alla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Regione Siciliana a  decorrere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dall'entrata in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vigore del presente decreto. </w:t>
      </w:r>
    </w:p>
    <w:p w:rsidR="003D5A3E" w:rsidRPr="00E22F59" w:rsidRDefault="00717175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>
        <w:rPr>
          <w:rFonts w:eastAsia="Times New Roman" w:cs="Arial"/>
          <w:i/>
          <w:color w:val="000000"/>
          <w:szCs w:val="24"/>
          <w:lang w:eastAsia="it-IT"/>
        </w:rPr>
        <w:t>1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0. All'articolo 6, comma 19, della legge 7 agosto 2012, n. 135, le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parole "con decreto del Ministro delle infrastrutture e dei trasporti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di concerto c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on il  Ministro dell'economia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e  delle  finanze"  sono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sopp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resse e dopo le  parole "ogni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successiva  modificazione  ovvero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integrazione delle suddette c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onvenzioni e' approvata" sono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inserite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le seguenti "con decreto del Presidente della Regione Siciliana.". </w:t>
      </w:r>
    </w:p>
    <w:p w:rsidR="003D5A3E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11. Con decreto del Ministro delle infrastrutture e  dei  trasporti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si provvede, nei successivi trenta giorni, alle modifiche  del  testo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convenzionale,  stipulato  in  data  30   luglio   2012,   necessarie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all'adeguamento alle presenti disposizioni. </w:t>
      </w:r>
    </w:p>
    <w:p w:rsidR="00717175" w:rsidRDefault="00717175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</w:p>
    <w:p w:rsidR="00717175" w:rsidRPr="00E22F59" w:rsidRDefault="00717175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</w:p>
    <w:p w:rsidR="00717175" w:rsidRDefault="003D5A3E" w:rsidP="00717175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Art. 26</w:t>
      </w:r>
    </w:p>
    <w:p w:rsidR="003D5A3E" w:rsidRPr="00E22F59" w:rsidRDefault="003D5A3E" w:rsidP="00717175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(Proroghe in materia di appalti pubblici)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1. All'articolo 1 d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ella legge 24 dicembre 2012, n. 228, </w:t>
      </w:r>
      <w:proofErr w:type="spellStart"/>
      <w:r w:rsidR="00717175">
        <w:rPr>
          <w:rFonts w:eastAsia="Times New Roman" w:cs="Arial"/>
          <w:i/>
          <w:color w:val="000000"/>
          <w:szCs w:val="24"/>
          <w:lang w:eastAsia="it-IT"/>
        </w:rPr>
        <w:t>i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comma</w:t>
      </w:r>
      <w:proofErr w:type="spellEnd"/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418 e' sostituito dal seguente: </w:t>
      </w:r>
    </w:p>
    <w:p w:rsidR="003D5A3E" w:rsidRPr="00E22F59" w:rsidRDefault="00717175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>
        <w:rPr>
          <w:rFonts w:eastAsia="Times New Roman" w:cs="Arial"/>
          <w:i/>
          <w:color w:val="000000"/>
          <w:szCs w:val="24"/>
          <w:lang w:eastAsia="it-IT"/>
        </w:rPr>
        <w:t>"418. In sede di prima applicazione delle disposizioni di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cui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all'articolo 1, comma 32, della legge 6 novembre 2012, n. 190, i dati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ivi previsti relativi a</w:t>
      </w:r>
      <w:r>
        <w:rPr>
          <w:rFonts w:eastAsia="Times New Roman" w:cs="Arial"/>
          <w:i/>
          <w:color w:val="000000"/>
          <w:szCs w:val="24"/>
          <w:lang w:eastAsia="it-IT"/>
        </w:rPr>
        <w:t>ll'anno 2012 sono pubblicati unitamente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ai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dati relativi all'anno 2013.".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2. All'articolo 253 del decreto legislativo 12 aprile 2006, n. 163,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sono apportate le seguenti modificazioni: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lastRenderedPageBreak/>
        <w:t>a) al comma 9-bis, primo e secondo periodo, le parole: "31 dicembre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2013" sono sostituite dalle seguenti: "31 dicembre 2015";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b) al comma 15-bis le paro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le: "31 dicembre  2013"  sono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sostituite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dalle seguenti: "31 dicembre 2015";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c) al comma 20-bis le par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ole: "31 dicembre  2013"  sono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sostituite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dalle seguenti: "31 dicembre 2015".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717175">
      <w:pPr>
        <w:keepNext/>
        <w:keepLines/>
        <w:widowControl w:val="0"/>
        <w:spacing w:before="0" w:after="0" w:line="336" w:lineRule="atLeast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Art. 27</w:t>
      </w:r>
    </w:p>
    <w:p w:rsidR="003D5A3E" w:rsidRPr="00E22F59" w:rsidRDefault="00717175" w:rsidP="00717175">
      <w:pPr>
        <w:keepNext/>
        <w:keepLines/>
        <w:widowControl w:val="0"/>
        <w:spacing w:before="0" w:after="0" w:line="336" w:lineRule="atLeast"/>
        <w:ind w:firstLine="709"/>
        <w:jc w:val="center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>
        <w:rPr>
          <w:rFonts w:eastAsia="Times New Roman" w:cs="Arial"/>
          <w:i/>
          <w:color w:val="000000"/>
          <w:szCs w:val="24"/>
          <w:lang w:eastAsia="it-IT"/>
        </w:rPr>
        <w:t xml:space="preserve">(Semplificazione in materia  di  procedura CIPE e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concessioni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autostradali)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1. Il comma 5 dell'articolo 21 del decreto-legge 24 dicembre  2003,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n. 355, convertito, con modificazioni, dalla legge 27 febbraio  2004,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n. 47, e successive modificazioni, e' sostituito dal seguente: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"5. Il concessionario formula al concedente, entro il 15 ottobre di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ogni anno, la proposta di variazioni tariffarie che intende applicare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nonché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la componente investimenti dei parametri X  e  K  relativi  a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ciascuno dei nuovi interventi aggi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untivi. Con  decreto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motivato  del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Ministro delle infr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astrutture e dei trasporti, di concerto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con  il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Ministro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dell'economia e delle finanze, da adottarsi entro il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15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dicembre, sono approvate 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riget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tate le variazioni proposte.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Il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decreto motivato 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>può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riguardare esclusivamente le verifiche relative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alla correttezza dei valori inseriti nella formula revisionale e  dei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relativi conteggi, 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>nonché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 alla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sussistenza  di  gravi  inadempienze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dell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e disposizioni previste dalla convenzione e che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siano  state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formalmente contestate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dal  concessionario entro il 30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giugno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precedente.".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2. All'articolo 169-bis del decr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eto legislativo 12 aprile 2006,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n.163, sono apportate le seguenti modificazioni: </w:t>
      </w:r>
    </w:p>
    <w:p w:rsidR="003D5A3E" w:rsidRPr="00E22F59" w:rsidRDefault="00717175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>
        <w:rPr>
          <w:rFonts w:eastAsia="Times New Roman" w:cs="Arial"/>
          <w:i/>
          <w:color w:val="000000"/>
          <w:szCs w:val="24"/>
          <w:lang w:eastAsia="it-IT"/>
        </w:rPr>
        <w:t>a) al comma 1, terzo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periodo,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 le parole: "Dipartimento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per  la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programmazione economica della Presidenza del Consiglio dei Ministri"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sono sostituite dalle seguenti: "Dipartimento per la programmazione e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il 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coordinamento della politica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economica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 della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Presidenza  del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Consigli</w:t>
      </w:r>
      <w:r>
        <w:rPr>
          <w:rFonts w:eastAsia="Times New Roman" w:cs="Arial"/>
          <w:i/>
          <w:color w:val="000000"/>
          <w:szCs w:val="24"/>
          <w:lang w:eastAsia="it-IT"/>
        </w:rPr>
        <w:t>o dei Ministri" e, dopo il terzo periodo e' inserito i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l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seguente: "Il Dipartimen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to per la programmazione e il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coordinamento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della politica economica dell</w:t>
      </w:r>
      <w:r>
        <w:rPr>
          <w:rFonts w:eastAsia="Times New Roman" w:cs="Arial"/>
          <w:i/>
          <w:color w:val="000000"/>
          <w:szCs w:val="24"/>
          <w:lang w:eastAsia="it-IT"/>
        </w:rPr>
        <w:t xml:space="preserve">a Presidenza del Consiglio dei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Ministri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>si pronuncia entro sessanta giorni, decorsi infruttuosamente i  quali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il decreto 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>può</w:t>
      </w:r>
      <w:r w:rsidR="003D5A3E" w:rsidRPr="00E22F59">
        <w:rPr>
          <w:rFonts w:eastAsia="Times New Roman" w:cs="Arial"/>
          <w:i/>
          <w:color w:val="000000"/>
          <w:szCs w:val="24"/>
          <w:lang w:eastAsia="it-IT"/>
        </w:rPr>
        <w:t xml:space="preserve"> essere comunque adottato"; 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>b) al comma 3 e' aggiunto, in fine il seguente periodo: "In caso di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criticità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procedurali,  tali  da 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 xml:space="preserve">non consentire il rispetto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del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predett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o termine di trenta giorni per l'adozione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del  d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ecreto,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il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Ministro delle infrastrutture e dei trasporti riferisce al  Consiglio</w:t>
      </w:r>
      <w:r w:rsidR="004C2355"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  <w:r w:rsidRPr="00E22F59">
        <w:rPr>
          <w:rFonts w:eastAsia="Times New Roman" w:cs="Arial"/>
          <w:i/>
          <w:color w:val="000000"/>
          <w:szCs w:val="24"/>
          <w:lang w:eastAsia="it-IT"/>
        </w:rPr>
        <w:t>dei Ministri per l</w:t>
      </w:r>
      <w:r w:rsidR="00717175">
        <w:rPr>
          <w:rFonts w:eastAsia="Times New Roman" w:cs="Arial"/>
          <w:i/>
          <w:color w:val="000000"/>
          <w:szCs w:val="24"/>
          <w:lang w:eastAsia="it-IT"/>
        </w:rPr>
        <w:t>e conseguenti determinazioni.".</w:t>
      </w:r>
    </w:p>
    <w:p w:rsidR="003D5A3E" w:rsidRPr="00E22F59" w:rsidRDefault="003D5A3E" w:rsidP="00DC5C77">
      <w:pPr>
        <w:keepNext/>
        <w:keepLines/>
        <w:widowControl w:val="0"/>
        <w:spacing w:before="0" w:after="0" w:line="336" w:lineRule="atLeast"/>
        <w:textAlignment w:val="baseline"/>
        <w:rPr>
          <w:rFonts w:eastAsia="Times New Roman" w:cs="Arial"/>
          <w:i/>
          <w:color w:val="000000"/>
          <w:szCs w:val="24"/>
          <w:lang w:eastAsia="it-IT"/>
        </w:rPr>
      </w:pPr>
      <w:r w:rsidRPr="00E22F59">
        <w:rPr>
          <w:rFonts w:eastAsia="Times New Roman" w:cs="Arial"/>
          <w:i/>
          <w:color w:val="000000"/>
          <w:szCs w:val="24"/>
          <w:lang w:eastAsia="it-IT"/>
        </w:rPr>
        <w:t xml:space="preserve"> </w:t>
      </w:r>
    </w:p>
    <w:p w:rsidR="00D86EF4" w:rsidRPr="00E22F59" w:rsidRDefault="00D86EF4" w:rsidP="00DC5C77">
      <w:pPr>
        <w:keepNext/>
        <w:keepLines/>
        <w:widowControl w:val="0"/>
        <w:spacing w:before="0" w:after="0"/>
        <w:rPr>
          <w:rFonts w:cs="Arial"/>
          <w:i/>
          <w:szCs w:val="24"/>
        </w:rPr>
      </w:pPr>
    </w:p>
    <w:sectPr w:rsidR="00D86EF4" w:rsidRPr="00E22F59" w:rsidSect="00D86E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283"/>
  <w:characterSpacingControl w:val="doNotCompress"/>
  <w:compat/>
  <w:rsids>
    <w:rsidRoot w:val="003D5A3E"/>
    <w:rsid w:val="00003DB2"/>
    <w:rsid w:val="0000432E"/>
    <w:rsid w:val="00005EA3"/>
    <w:rsid w:val="00006103"/>
    <w:rsid w:val="000073C2"/>
    <w:rsid w:val="00010995"/>
    <w:rsid w:val="0001182D"/>
    <w:rsid w:val="0001217B"/>
    <w:rsid w:val="00012E2A"/>
    <w:rsid w:val="00015808"/>
    <w:rsid w:val="000208C8"/>
    <w:rsid w:val="000219B3"/>
    <w:rsid w:val="0002258D"/>
    <w:rsid w:val="0002379C"/>
    <w:rsid w:val="000254DD"/>
    <w:rsid w:val="00026977"/>
    <w:rsid w:val="00027A21"/>
    <w:rsid w:val="000354C7"/>
    <w:rsid w:val="000362B1"/>
    <w:rsid w:val="0003630A"/>
    <w:rsid w:val="00036319"/>
    <w:rsid w:val="00037FC5"/>
    <w:rsid w:val="00042E25"/>
    <w:rsid w:val="00043896"/>
    <w:rsid w:val="0005113A"/>
    <w:rsid w:val="000530A4"/>
    <w:rsid w:val="0005491D"/>
    <w:rsid w:val="00055821"/>
    <w:rsid w:val="00061CE9"/>
    <w:rsid w:val="00062C0E"/>
    <w:rsid w:val="00063BB1"/>
    <w:rsid w:val="00063F58"/>
    <w:rsid w:val="00065862"/>
    <w:rsid w:val="00071FB3"/>
    <w:rsid w:val="00072D42"/>
    <w:rsid w:val="00075993"/>
    <w:rsid w:val="00076527"/>
    <w:rsid w:val="00077A35"/>
    <w:rsid w:val="00077C7E"/>
    <w:rsid w:val="00080EA3"/>
    <w:rsid w:val="00083BEA"/>
    <w:rsid w:val="0008721E"/>
    <w:rsid w:val="00087E32"/>
    <w:rsid w:val="0009003C"/>
    <w:rsid w:val="000910E8"/>
    <w:rsid w:val="0009120A"/>
    <w:rsid w:val="0009276B"/>
    <w:rsid w:val="0009421C"/>
    <w:rsid w:val="00095E75"/>
    <w:rsid w:val="00095F5E"/>
    <w:rsid w:val="000A0213"/>
    <w:rsid w:val="000A1D1D"/>
    <w:rsid w:val="000A30E7"/>
    <w:rsid w:val="000A3436"/>
    <w:rsid w:val="000A64B0"/>
    <w:rsid w:val="000B0CB5"/>
    <w:rsid w:val="000B1825"/>
    <w:rsid w:val="000B2508"/>
    <w:rsid w:val="000B2704"/>
    <w:rsid w:val="000B512B"/>
    <w:rsid w:val="000B592C"/>
    <w:rsid w:val="000C02A1"/>
    <w:rsid w:val="000C4F37"/>
    <w:rsid w:val="000D00E9"/>
    <w:rsid w:val="000D24E2"/>
    <w:rsid w:val="000D3DD0"/>
    <w:rsid w:val="000D537F"/>
    <w:rsid w:val="000D626A"/>
    <w:rsid w:val="000D65BB"/>
    <w:rsid w:val="000E21DC"/>
    <w:rsid w:val="000E366B"/>
    <w:rsid w:val="000E5A54"/>
    <w:rsid w:val="000E5CDC"/>
    <w:rsid w:val="000F0EB7"/>
    <w:rsid w:val="000F3186"/>
    <w:rsid w:val="000F3A9B"/>
    <w:rsid w:val="000F76A8"/>
    <w:rsid w:val="00101F05"/>
    <w:rsid w:val="00102C4A"/>
    <w:rsid w:val="00103038"/>
    <w:rsid w:val="00104DA2"/>
    <w:rsid w:val="00110A63"/>
    <w:rsid w:val="00113210"/>
    <w:rsid w:val="00116347"/>
    <w:rsid w:val="00117295"/>
    <w:rsid w:val="00117825"/>
    <w:rsid w:val="001226A8"/>
    <w:rsid w:val="001227D1"/>
    <w:rsid w:val="00123881"/>
    <w:rsid w:val="001257E3"/>
    <w:rsid w:val="001262B5"/>
    <w:rsid w:val="00130260"/>
    <w:rsid w:val="00130D25"/>
    <w:rsid w:val="00130D53"/>
    <w:rsid w:val="00134B64"/>
    <w:rsid w:val="00134F0F"/>
    <w:rsid w:val="00135490"/>
    <w:rsid w:val="0013592A"/>
    <w:rsid w:val="00137EF9"/>
    <w:rsid w:val="001420DE"/>
    <w:rsid w:val="00142754"/>
    <w:rsid w:val="00143E7C"/>
    <w:rsid w:val="00143FE6"/>
    <w:rsid w:val="001457E7"/>
    <w:rsid w:val="0015148E"/>
    <w:rsid w:val="00151595"/>
    <w:rsid w:val="00151993"/>
    <w:rsid w:val="00155DC5"/>
    <w:rsid w:val="001576DE"/>
    <w:rsid w:val="0016345B"/>
    <w:rsid w:val="001639A9"/>
    <w:rsid w:val="00164452"/>
    <w:rsid w:val="00165555"/>
    <w:rsid w:val="00166415"/>
    <w:rsid w:val="00167109"/>
    <w:rsid w:val="00167CA3"/>
    <w:rsid w:val="00170263"/>
    <w:rsid w:val="001728D1"/>
    <w:rsid w:val="00173E8D"/>
    <w:rsid w:val="001740D2"/>
    <w:rsid w:val="00175E69"/>
    <w:rsid w:val="001819FF"/>
    <w:rsid w:val="0018333B"/>
    <w:rsid w:val="001849C4"/>
    <w:rsid w:val="00186E65"/>
    <w:rsid w:val="0018754C"/>
    <w:rsid w:val="0019211C"/>
    <w:rsid w:val="001944AF"/>
    <w:rsid w:val="0019602E"/>
    <w:rsid w:val="00197F99"/>
    <w:rsid w:val="001A00EA"/>
    <w:rsid w:val="001A2799"/>
    <w:rsid w:val="001A27B0"/>
    <w:rsid w:val="001A43DB"/>
    <w:rsid w:val="001A77AD"/>
    <w:rsid w:val="001B36DA"/>
    <w:rsid w:val="001B3C34"/>
    <w:rsid w:val="001B3E24"/>
    <w:rsid w:val="001B5432"/>
    <w:rsid w:val="001B6C00"/>
    <w:rsid w:val="001B6E71"/>
    <w:rsid w:val="001B7CDE"/>
    <w:rsid w:val="001B7D4A"/>
    <w:rsid w:val="001C1108"/>
    <w:rsid w:val="001C2530"/>
    <w:rsid w:val="001C2674"/>
    <w:rsid w:val="001C2D4A"/>
    <w:rsid w:val="001C2E51"/>
    <w:rsid w:val="001C341E"/>
    <w:rsid w:val="001C5F4F"/>
    <w:rsid w:val="001C6B3D"/>
    <w:rsid w:val="001C6DCE"/>
    <w:rsid w:val="001C7044"/>
    <w:rsid w:val="001C71E6"/>
    <w:rsid w:val="001D17EF"/>
    <w:rsid w:val="001D32B8"/>
    <w:rsid w:val="001E0CAA"/>
    <w:rsid w:val="001E1462"/>
    <w:rsid w:val="001E2862"/>
    <w:rsid w:val="001E30FC"/>
    <w:rsid w:val="001E4E0E"/>
    <w:rsid w:val="001E5CD6"/>
    <w:rsid w:val="001E73E2"/>
    <w:rsid w:val="001E75C0"/>
    <w:rsid w:val="001F3FA8"/>
    <w:rsid w:val="001F5997"/>
    <w:rsid w:val="001F743B"/>
    <w:rsid w:val="001F7E8F"/>
    <w:rsid w:val="0020141E"/>
    <w:rsid w:val="00201B7B"/>
    <w:rsid w:val="00203A78"/>
    <w:rsid w:val="00204ECD"/>
    <w:rsid w:val="002070D7"/>
    <w:rsid w:val="00207110"/>
    <w:rsid w:val="00211A1F"/>
    <w:rsid w:val="002131AF"/>
    <w:rsid w:val="00214F42"/>
    <w:rsid w:val="002159AE"/>
    <w:rsid w:val="0022710A"/>
    <w:rsid w:val="0022798A"/>
    <w:rsid w:val="00230D3D"/>
    <w:rsid w:val="00231745"/>
    <w:rsid w:val="00232514"/>
    <w:rsid w:val="0023727A"/>
    <w:rsid w:val="00240A20"/>
    <w:rsid w:val="00240E79"/>
    <w:rsid w:val="00241CD9"/>
    <w:rsid w:val="00241F64"/>
    <w:rsid w:val="0024374D"/>
    <w:rsid w:val="00244E1B"/>
    <w:rsid w:val="002450E0"/>
    <w:rsid w:val="00247C63"/>
    <w:rsid w:val="002506FC"/>
    <w:rsid w:val="00253648"/>
    <w:rsid w:val="00254B87"/>
    <w:rsid w:val="00255312"/>
    <w:rsid w:val="00256D80"/>
    <w:rsid w:val="002603B0"/>
    <w:rsid w:val="00264E93"/>
    <w:rsid w:val="00270120"/>
    <w:rsid w:val="00274FF9"/>
    <w:rsid w:val="00280E54"/>
    <w:rsid w:val="0028636B"/>
    <w:rsid w:val="00286D9B"/>
    <w:rsid w:val="0029205A"/>
    <w:rsid w:val="00294FB4"/>
    <w:rsid w:val="0029748A"/>
    <w:rsid w:val="00297AE7"/>
    <w:rsid w:val="002A046D"/>
    <w:rsid w:val="002A1D4A"/>
    <w:rsid w:val="002A33C7"/>
    <w:rsid w:val="002A5CDC"/>
    <w:rsid w:val="002A7495"/>
    <w:rsid w:val="002B0549"/>
    <w:rsid w:val="002B0A4F"/>
    <w:rsid w:val="002B1276"/>
    <w:rsid w:val="002B1F73"/>
    <w:rsid w:val="002B3F24"/>
    <w:rsid w:val="002B5B46"/>
    <w:rsid w:val="002B6604"/>
    <w:rsid w:val="002B67A7"/>
    <w:rsid w:val="002B7175"/>
    <w:rsid w:val="002C2B8C"/>
    <w:rsid w:val="002C4AEA"/>
    <w:rsid w:val="002C4D55"/>
    <w:rsid w:val="002C5A7B"/>
    <w:rsid w:val="002D081A"/>
    <w:rsid w:val="002D1749"/>
    <w:rsid w:val="002D223C"/>
    <w:rsid w:val="002D303B"/>
    <w:rsid w:val="002D5459"/>
    <w:rsid w:val="002D5CD9"/>
    <w:rsid w:val="002E02C1"/>
    <w:rsid w:val="002E2EFF"/>
    <w:rsid w:val="002E39C2"/>
    <w:rsid w:val="002E3C26"/>
    <w:rsid w:val="002E42D3"/>
    <w:rsid w:val="002F489C"/>
    <w:rsid w:val="002F54D6"/>
    <w:rsid w:val="002F5E2F"/>
    <w:rsid w:val="002F6A27"/>
    <w:rsid w:val="002F706B"/>
    <w:rsid w:val="00301CA7"/>
    <w:rsid w:val="00303A80"/>
    <w:rsid w:val="003048D5"/>
    <w:rsid w:val="00307A95"/>
    <w:rsid w:val="0031002C"/>
    <w:rsid w:val="0031021E"/>
    <w:rsid w:val="0031425E"/>
    <w:rsid w:val="003160A6"/>
    <w:rsid w:val="00316918"/>
    <w:rsid w:val="0031792B"/>
    <w:rsid w:val="003207AD"/>
    <w:rsid w:val="00321000"/>
    <w:rsid w:val="0032139B"/>
    <w:rsid w:val="00321CDF"/>
    <w:rsid w:val="00322AF1"/>
    <w:rsid w:val="00322E07"/>
    <w:rsid w:val="0032300E"/>
    <w:rsid w:val="003232D4"/>
    <w:rsid w:val="00323333"/>
    <w:rsid w:val="003243C6"/>
    <w:rsid w:val="00324F69"/>
    <w:rsid w:val="0032712E"/>
    <w:rsid w:val="00327407"/>
    <w:rsid w:val="003304FF"/>
    <w:rsid w:val="003318CF"/>
    <w:rsid w:val="00331C5B"/>
    <w:rsid w:val="00334B2F"/>
    <w:rsid w:val="00334CA0"/>
    <w:rsid w:val="00335DCD"/>
    <w:rsid w:val="00340709"/>
    <w:rsid w:val="00341043"/>
    <w:rsid w:val="003417C2"/>
    <w:rsid w:val="00342106"/>
    <w:rsid w:val="00343893"/>
    <w:rsid w:val="00343AB1"/>
    <w:rsid w:val="0034492B"/>
    <w:rsid w:val="00345D44"/>
    <w:rsid w:val="0035035D"/>
    <w:rsid w:val="00351830"/>
    <w:rsid w:val="00353B61"/>
    <w:rsid w:val="00353E62"/>
    <w:rsid w:val="003544D4"/>
    <w:rsid w:val="0035555D"/>
    <w:rsid w:val="003610DE"/>
    <w:rsid w:val="00363B12"/>
    <w:rsid w:val="00364285"/>
    <w:rsid w:val="00364AD2"/>
    <w:rsid w:val="00370061"/>
    <w:rsid w:val="00370D02"/>
    <w:rsid w:val="003723DD"/>
    <w:rsid w:val="003807C3"/>
    <w:rsid w:val="00380FC9"/>
    <w:rsid w:val="00381F2E"/>
    <w:rsid w:val="00386263"/>
    <w:rsid w:val="003902D5"/>
    <w:rsid w:val="00393D73"/>
    <w:rsid w:val="00396A08"/>
    <w:rsid w:val="00397C08"/>
    <w:rsid w:val="003A196F"/>
    <w:rsid w:val="003A291C"/>
    <w:rsid w:val="003A4A0B"/>
    <w:rsid w:val="003A533F"/>
    <w:rsid w:val="003A7FEB"/>
    <w:rsid w:val="003B188C"/>
    <w:rsid w:val="003B5F26"/>
    <w:rsid w:val="003C19E7"/>
    <w:rsid w:val="003C2084"/>
    <w:rsid w:val="003C20D4"/>
    <w:rsid w:val="003C2660"/>
    <w:rsid w:val="003C4087"/>
    <w:rsid w:val="003C5DE1"/>
    <w:rsid w:val="003C618C"/>
    <w:rsid w:val="003D15A5"/>
    <w:rsid w:val="003D4334"/>
    <w:rsid w:val="003D5A3E"/>
    <w:rsid w:val="003D7087"/>
    <w:rsid w:val="003E4C9B"/>
    <w:rsid w:val="003E643A"/>
    <w:rsid w:val="003E6C11"/>
    <w:rsid w:val="003E7A0A"/>
    <w:rsid w:val="003F0A2C"/>
    <w:rsid w:val="003F15F7"/>
    <w:rsid w:val="003F2482"/>
    <w:rsid w:val="003F5A6B"/>
    <w:rsid w:val="003F663A"/>
    <w:rsid w:val="003F70FF"/>
    <w:rsid w:val="003F79B0"/>
    <w:rsid w:val="004047B9"/>
    <w:rsid w:val="00413537"/>
    <w:rsid w:val="00413556"/>
    <w:rsid w:val="00414FFC"/>
    <w:rsid w:val="0041665C"/>
    <w:rsid w:val="0041766D"/>
    <w:rsid w:val="0042125B"/>
    <w:rsid w:val="0042164F"/>
    <w:rsid w:val="004219A8"/>
    <w:rsid w:val="004243AE"/>
    <w:rsid w:val="00424AF1"/>
    <w:rsid w:val="00424C66"/>
    <w:rsid w:val="00432CCA"/>
    <w:rsid w:val="00434ED2"/>
    <w:rsid w:val="00436D74"/>
    <w:rsid w:val="004420D4"/>
    <w:rsid w:val="0044462D"/>
    <w:rsid w:val="00445FDD"/>
    <w:rsid w:val="00447876"/>
    <w:rsid w:val="0045185D"/>
    <w:rsid w:val="00453FF2"/>
    <w:rsid w:val="00455795"/>
    <w:rsid w:val="00456DF0"/>
    <w:rsid w:val="004607DE"/>
    <w:rsid w:val="004610BA"/>
    <w:rsid w:val="00462499"/>
    <w:rsid w:val="0046394B"/>
    <w:rsid w:val="00467075"/>
    <w:rsid w:val="00467870"/>
    <w:rsid w:val="00470F7C"/>
    <w:rsid w:val="0047182B"/>
    <w:rsid w:val="00472595"/>
    <w:rsid w:val="004871E7"/>
    <w:rsid w:val="00487DCC"/>
    <w:rsid w:val="0049146E"/>
    <w:rsid w:val="00491821"/>
    <w:rsid w:val="00492691"/>
    <w:rsid w:val="004944EF"/>
    <w:rsid w:val="00496216"/>
    <w:rsid w:val="00497675"/>
    <w:rsid w:val="0049796D"/>
    <w:rsid w:val="004A217A"/>
    <w:rsid w:val="004A25C7"/>
    <w:rsid w:val="004A55CB"/>
    <w:rsid w:val="004A6339"/>
    <w:rsid w:val="004A72FE"/>
    <w:rsid w:val="004B1173"/>
    <w:rsid w:val="004B12D7"/>
    <w:rsid w:val="004B7D33"/>
    <w:rsid w:val="004C112B"/>
    <w:rsid w:val="004C2355"/>
    <w:rsid w:val="004C43AF"/>
    <w:rsid w:val="004C44BA"/>
    <w:rsid w:val="004C63CF"/>
    <w:rsid w:val="004C6B65"/>
    <w:rsid w:val="004D06FE"/>
    <w:rsid w:val="004D24B8"/>
    <w:rsid w:val="004D2B2C"/>
    <w:rsid w:val="004D33D9"/>
    <w:rsid w:val="004D3F19"/>
    <w:rsid w:val="004D6CE1"/>
    <w:rsid w:val="004D7694"/>
    <w:rsid w:val="004E1602"/>
    <w:rsid w:val="004E2167"/>
    <w:rsid w:val="004E28E3"/>
    <w:rsid w:val="004E394A"/>
    <w:rsid w:val="004E442F"/>
    <w:rsid w:val="004E45F0"/>
    <w:rsid w:val="004E4DCC"/>
    <w:rsid w:val="004E7C06"/>
    <w:rsid w:val="004F0855"/>
    <w:rsid w:val="004F1AF5"/>
    <w:rsid w:val="004F1DFA"/>
    <w:rsid w:val="004F2320"/>
    <w:rsid w:val="004F5E30"/>
    <w:rsid w:val="004F61B2"/>
    <w:rsid w:val="005028C7"/>
    <w:rsid w:val="0051099B"/>
    <w:rsid w:val="00512571"/>
    <w:rsid w:val="005137D4"/>
    <w:rsid w:val="00515E63"/>
    <w:rsid w:val="00517075"/>
    <w:rsid w:val="005172B9"/>
    <w:rsid w:val="00521921"/>
    <w:rsid w:val="00521EBD"/>
    <w:rsid w:val="00522842"/>
    <w:rsid w:val="0052580B"/>
    <w:rsid w:val="00533DB8"/>
    <w:rsid w:val="00534D98"/>
    <w:rsid w:val="00535126"/>
    <w:rsid w:val="0053645D"/>
    <w:rsid w:val="005401F1"/>
    <w:rsid w:val="0054034C"/>
    <w:rsid w:val="00542E80"/>
    <w:rsid w:val="00545C54"/>
    <w:rsid w:val="0055320C"/>
    <w:rsid w:val="005537BF"/>
    <w:rsid w:val="00555F55"/>
    <w:rsid w:val="00560B3A"/>
    <w:rsid w:val="00563969"/>
    <w:rsid w:val="005678C2"/>
    <w:rsid w:val="005727D5"/>
    <w:rsid w:val="00576C42"/>
    <w:rsid w:val="0058047B"/>
    <w:rsid w:val="00581429"/>
    <w:rsid w:val="00582983"/>
    <w:rsid w:val="005829FE"/>
    <w:rsid w:val="00586071"/>
    <w:rsid w:val="00587BB1"/>
    <w:rsid w:val="00587BF8"/>
    <w:rsid w:val="00590A41"/>
    <w:rsid w:val="00594507"/>
    <w:rsid w:val="005957CA"/>
    <w:rsid w:val="00595B9D"/>
    <w:rsid w:val="005975E4"/>
    <w:rsid w:val="005A06EA"/>
    <w:rsid w:val="005A5497"/>
    <w:rsid w:val="005B2420"/>
    <w:rsid w:val="005B4734"/>
    <w:rsid w:val="005B55DC"/>
    <w:rsid w:val="005B6AB7"/>
    <w:rsid w:val="005C077F"/>
    <w:rsid w:val="005C0ADB"/>
    <w:rsid w:val="005C15C1"/>
    <w:rsid w:val="005C4948"/>
    <w:rsid w:val="005C4E2D"/>
    <w:rsid w:val="005C5A52"/>
    <w:rsid w:val="005D124B"/>
    <w:rsid w:val="005D1421"/>
    <w:rsid w:val="005D1C2D"/>
    <w:rsid w:val="005D2336"/>
    <w:rsid w:val="005E3DB4"/>
    <w:rsid w:val="005E71A3"/>
    <w:rsid w:val="005F0202"/>
    <w:rsid w:val="005F181A"/>
    <w:rsid w:val="005F41F6"/>
    <w:rsid w:val="005F4599"/>
    <w:rsid w:val="005F6724"/>
    <w:rsid w:val="005F771C"/>
    <w:rsid w:val="006009F9"/>
    <w:rsid w:val="00601427"/>
    <w:rsid w:val="0060276E"/>
    <w:rsid w:val="00605068"/>
    <w:rsid w:val="00606727"/>
    <w:rsid w:val="00606A0E"/>
    <w:rsid w:val="00611629"/>
    <w:rsid w:val="0061212E"/>
    <w:rsid w:val="006163C9"/>
    <w:rsid w:val="006208F6"/>
    <w:rsid w:val="00622800"/>
    <w:rsid w:val="00622E2F"/>
    <w:rsid w:val="006260FA"/>
    <w:rsid w:val="00635538"/>
    <w:rsid w:val="0063719F"/>
    <w:rsid w:val="00641345"/>
    <w:rsid w:val="006426D2"/>
    <w:rsid w:val="00643DBE"/>
    <w:rsid w:val="00643F49"/>
    <w:rsid w:val="00645DDD"/>
    <w:rsid w:val="0064688B"/>
    <w:rsid w:val="00651F1F"/>
    <w:rsid w:val="00652EEC"/>
    <w:rsid w:val="006534F3"/>
    <w:rsid w:val="006546F1"/>
    <w:rsid w:val="006547DC"/>
    <w:rsid w:val="0066432E"/>
    <w:rsid w:val="00664847"/>
    <w:rsid w:val="00667FF2"/>
    <w:rsid w:val="00670E60"/>
    <w:rsid w:val="006726C1"/>
    <w:rsid w:val="006754AE"/>
    <w:rsid w:val="006754F9"/>
    <w:rsid w:val="00675715"/>
    <w:rsid w:val="00676F55"/>
    <w:rsid w:val="0068044B"/>
    <w:rsid w:val="0068164F"/>
    <w:rsid w:val="00681824"/>
    <w:rsid w:val="00683857"/>
    <w:rsid w:val="00686AED"/>
    <w:rsid w:val="00687C65"/>
    <w:rsid w:val="00694BF4"/>
    <w:rsid w:val="00694DA7"/>
    <w:rsid w:val="006A225A"/>
    <w:rsid w:val="006A2F2F"/>
    <w:rsid w:val="006B05FB"/>
    <w:rsid w:val="006B0906"/>
    <w:rsid w:val="006B152E"/>
    <w:rsid w:val="006B23EE"/>
    <w:rsid w:val="006B488D"/>
    <w:rsid w:val="006C0474"/>
    <w:rsid w:val="006C0FB6"/>
    <w:rsid w:val="006C4F07"/>
    <w:rsid w:val="006C521D"/>
    <w:rsid w:val="006C59F4"/>
    <w:rsid w:val="006C6111"/>
    <w:rsid w:val="006C7FFB"/>
    <w:rsid w:val="006D36F1"/>
    <w:rsid w:val="006D3D82"/>
    <w:rsid w:val="006D3F6F"/>
    <w:rsid w:val="006D551C"/>
    <w:rsid w:val="006D5BA4"/>
    <w:rsid w:val="006D696E"/>
    <w:rsid w:val="006D769F"/>
    <w:rsid w:val="006E16F6"/>
    <w:rsid w:val="006E371D"/>
    <w:rsid w:val="006E3A84"/>
    <w:rsid w:val="006E5F7D"/>
    <w:rsid w:val="006F152B"/>
    <w:rsid w:val="006F18A4"/>
    <w:rsid w:val="006F190D"/>
    <w:rsid w:val="006F384C"/>
    <w:rsid w:val="006F3C47"/>
    <w:rsid w:val="006F5CC4"/>
    <w:rsid w:val="006F7DFE"/>
    <w:rsid w:val="0070034F"/>
    <w:rsid w:val="00701127"/>
    <w:rsid w:val="0070448F"/>
    <w:rsid w:val="00705A4F"/>
    <w:rsid w:val="00706267"/>
    <w:rsid w:val="007102F0"/>
    <w:rsid w:val="00711022"/>
    <w:rsid w:val="00711497"/>
    <w:rsid w:val="007114AF"/>
    <w:rsid w:val="007126DF"/>
    <w:rsid w:val="00712D5E"/>
    <w:rsid w:val="007158FF"/>
    <w:rsid w:val="00715C91"/>
    <w:rsid w:val="00716DE6"/>
    <w:rsid w:val="00717175"/>
    <w:rsid w:val="00717B0D"/>
    <w:rsid w:val="00732FE4"/>
    <w:rsid w:val="0073324F"/>
    <w:rsid w:val="00737868"/>
    <w:rsid w:val="00740EAA"/>
    <w:rsid w:val="00741663"/>
    <w:rsid w:val="00742436"/>
    <w:rsid w:val="00743C02"/>
    <w:rsid w:val="00743D19"/>
    <w:rsid w:val="00745B42"/>
    <w:rsid w:val="0074755C"/>
    <w:rsid w:val="00747A85"/>
    <w:rsid w:val="007526E7"/>
    <w:rsid w:val="00753AA5"/>
    <w:rsid w:val="00753FEC"/>
    <w:rsid w:val="00754159"/>
    <w:rsid w:val="00754434"/>
    <w:rsid w:val="00760424"/>
    <w:rsid w:val="0076192E"/>
    <w:rsid w:val="007649D0"/>
    <w:rsid w:val="00764AD3"/>
    <w:rsid w:val="00765E30"/>
    <w:rsid w:val="007665AD"/>
    <w:rsid w:val="00766D73"/>
    <w:rsid w:val="007672AA"/>
    <w:rsid w:val="00772463"/>
    <w:rsid w:val="00772BBE"/>
    <w:rsid w:val="00774291"/>
    <w:rsid w:val="007773D1"/>
    <w:rsid w:val="007774DC"/>
    <w:rsid w:val="00780B9A"/>
    <w:rsid w:val="0078113B"/>
    <w:rsid w:val="007863B6"/>
    <w:rsid w:val="00787578"/>
    <w:rsid w:val="0079210C"/>
    <w:rsid w:val="007934EC"/>
    <w:rsid w:val="00797D1E"/>
    <w:rsid w:val="00797FDD"/>
    <w:rsid w:val="007A346E"/>
    <w:rsid w:val="007A37F7"/>
    <w:rsid w:val="007A4B07"/>
    <w:rsid w:val="007A4E17"/>
    <w:rsid w:val="007A503C"/>
    <w:rsid w:val="007A5AB6"/>
    <w:rsid w:val="007B12BB"/>
    <w:rsid w:val="007B2390"/>
    <w:rsid w:val="007B7012"/>
    <w:rsid w:val="007B7386"/>
    <w:rsid w:val="007C1AFC"/>
    <w:rsid w:val="007C46D8"/>
    <w:rsid w:val="007C5459"/>
    <w:rsid w:val="007C7264"/>
    <w:rsid w:val="007D161E"/>
    <w:rsid w:val="007D1CE4"/>
    <w:rsid w:val="007D25ED"/>
    <w:rsid w:val="007D5E98"/>
    <w:rsid w:val="007D6634"/>
    <w:rsid w:val="007D6A2C"/>
    <w:rsid w:val="007D7BED"/>
    <w:rsid w:val="007E0D9A"/>
    <w:rsid w:val="007E1212"/>
    <w:rsid w:val="007E2153"/>
    <w:rsid w:val="007E3F2C"/>
    <w:rsid w:val="007E70DB"/>
    <w:rsid w:val="007E74C0"/>
    <w:rsid w:val="007F3160"/>
    <w:rsid w:val="007F3DF6"/>
    <w:rsid w:val="007F5401"/>
    <w:rsid w:val="007F5E3C"/>
    <w:rsid w:val="007F6060"/>
    <w:rsid w:val="00800EFC"/>
    <w:rsid w:val="00802B7C"/>
    <w:rsid w:val="00802E78"/>
    <w:rsid w:val="00804772"/>
    <w:rsid w:val="00804955"/>
    <w:rsid w:val="00805290"/>
    <w:rsid w:val="008060EE"/>
    <w:rsid w:val="00811BB4"/>
    <w:rsid w:val="00811CD7"/>
    <w:rsid w:val="00812B0E"/>
    <w:rsid w:val="00813077"/>
    <w:rsid w:val="00817419"/>
    <w:rsid w:val="0082019F"/>
    <w:rsid w:val="008238EE"/>
    <w:rsid w:val="0082406C"/>
    <w:rsid w:val="008248FD"/>
    <w:rsid w:val="00824966"/>
    <w:rsid w:val="00824A68"/>
    <w:rsid w:val="00826C1A"/>
    <w:rsid w:val="00830B52"/>
    <w:rsid w:val="00830CFF"/>
    <w:rsid w:val="00832AF9"/>
    <w:rsid w:val="00832EC7"/>
    <w:rsid w:val="00833660"/>
    <w:rsid w:val="0083372D"/>
    <w:rsid w:val="00834AE2"/>
    <w:rsid w:val="00834C13"/>
    <w:rsid w:val="008358F5"/>
    <w:rsid w:val="008365A0"/>
    <w:rsid w:val="00836BC3"/>
    <w:rsid w:val="00837DA4"/>
    <w:rsid w:val="00840B88"/>
    <w:rsid w:val="00843C16"/>
    <w:rsid w:val="00850F6C"/>
    <w:rsid w:val="00851E5F"/>
    <w:rsid w:val="00856F1F"/>
    <w:rsid w:val="0086064E"/>
    <w:rsid w:val="00860B74"/>
    <w:rsid w:val="00865673"/>
    <w:rsid w:val="00867DF8"/>
    <w:rsid w:val="0087011A"/>
    <w:rsid w:val="00872AC0"/>
    <w:rsid w:val="00874B71"/>
    <w:rsid w:val="008752F9"/>
    <w:rsid w:val="00875AA1"/>
    <w:rsid w:val="0088150E"/>
    <w:rsid w:val="008815F8"/>
    <w:rsid w:val="00881C9D"/>
    <w:rsid w:val="00881DEC"/>
    <w:rsid w:val="0088574D"/>
    <w:rsid w:val="00886D1D"/>
    <w:rsid w:val="0089009F"/>
    <w:rsid w:val="00891F9F"/>
    <w:rsid w:val="0089393B"/>
    <w:rsid w:val="00894C3D"/>
    <w:rsid w:val="00895263"/>
    <w:rsid w:val="00895E86"/>
    <w:rsid w:val="008967D1"/>
    <w:rsid w:val="00897CA6"/>
    <w:rsid w:val="00897DF2"/>
    <w:rsid w:val="008A3D32"/>
    <w:rsid w:val="008A3E20"/>
    <w:rsid w:val="008B116C"/>
    <w:rsid w:val="008B3BB5"/>
    <w:rsid w:val="008B4827"/>
    <w:rsid w:val="008B7535"/>
    <w:rsid w:val="008C3802"/>
    <w:rsid w:val="008C4C80"/>
    <w:rsid w:val="008C6933"/>
    <w:rsid w:val="008D202A"/>
    <w:rsid w:val="008D266C"/>
    <w:rsid w:val="008D2B33"/>
    <w:rsid w:val="008D5A2F"/>
    <w:rsid w:val="008D71AE"/>
    <w:rsid w:val="008E00F3"/>
    <w:rsid w:val="008E0EC4"/>
    <w:rsid w:val="008E32A6"/>
    <w:rsid w:val="008E410B"/>
    <w:rsid w:val="008E6689"/>
    <w:rsid w:val="008E6846"/>
    <w:rsid w:val="008F0086"/>
    <w:rsid w:val="008F01D7"/>
    <w:rsid w:val="008F0AE4"/>
    <w:rsid w:val="008F133C"/>
    <w:rsid w:val="008F1838"/>
    <w:rsid w:val="008F3A9A"/>
    <w:rsid w:val="009022AA"/>
    <w:rsid w:val="00903ED1"/>
    <w:rsid w:val="0090762F"/>
    <w:rsid w:val="009076CB"/>
    <w:rsid w:val="009077D2"/>
    <w:rsid w:val="00911EF9"/>
    <w:rsid w:val="00915A03"/>
    <w:rsid w:val="00921FC4"/>
    <w:rsid w:val="00922C8C"/>
    <w:rsid w:val="009233BE"/>
    <w:rsid w:val="00924633"/>
    <w:rsid w:val="00925AA4"/>
    <w:rsid w:val="00925DF5"/>
    <w:rsid w:val="0092651A"/>
    <w:rsid w:val="0092697A"/>
    <w:rsid w:val="0092772A"/>
    <w:rsid w:val="00927BA2"/>
    <w:rsid w:val="00930C6D"/>
    <w:rsid w:val="00933388"/>
    <w:rsid w:val="00933E82"/>
    <w:rsid w:val="00935F7B"/>
    <w:rsid w:val="0094103E"/>
    <w:rsid w:val="00950AEC"/>
    <w:rsid w:val="00950E5B"/>
    <w:rsid w:val="00950F70"/>
    <w:rsid w:val="00951498"/>
    <w:rsid w:val="00954838"/>
    <w:rsid w:val="00956296"/>
    <w:rsid w:val="0095657A"/>
    <w:rsid w:val="00957A37"/>
    <w:rsid w:val="00960371"/>
    <w:rsid w:val="009651AB"/>
    <w:rsid w:val="0096722F"/>
    <w:rsid w:val="009718E4"/>
    <w:rsid w:val="00973D83"/>
    <w:rsid w:val="00975844"/>
    <w:rsid w:val="00977798"/>
    <w:rsid w:val="00981291"/>
    <w:rsid w:val="00995DA8"/>
    <w:rsid w:val="00996208"/>
    <w:rsid w:val="009A2682"/>
    <w:rsid w:val="009A44EB"/>
    <w:rsid w:val="009A4CA1"/>
    <w:rsid w:val="009A7862"/>
    <w:rsid w:val="009B0247"/>
    <w:rsid w:val="009B0A4A"/>
    <w:rsid w:val="009B0F5F"/>
    <w:rsid w:val="009B2857"/>
    <w:rsid w:val="009B2E32"/>
    <w:rsid w:val="009B3A4F"/>
    <w:rsid w:val="009B3D2C"/>
    <w:rsid w:val="009B4062"/>
    <w:rsid w:val="009B4A5D"/>
    <w:rsid w:val="009B5830"/>
    <w:rsid w:val="009B6335"/>
    <w:rsid w:val="009B65E4"/>
    <w:rsid w:val="009B67BA"/>
    <w:rsid w:val="009C0FF5"/>
    <w:rsid w:val="009C347C"/>
    <w:rsid w:val="009C4A3D"/>
    <w:rsid w:val="009C5772"/>
    <w:rsid w:val="009C703C"/>
    <w:rsid w:val="009C74D3"/>
    <w:rsid w:val="009D0593"/>
    <w:rsid w:val="009D1C1D"/>
    <w:rsid w:val="009D6443"/>
    <w:rsid w:val="009D76AC"/>
    <w:rsid w:val="009E284E"/>
    <w:rsid w:val="009E5CA5"/>
    <w:rsid w:val="009F0185"/>
    <w:rsid w:val="009F0BB0"/>
    <w:rsid w:val="009F17E7"/>
    <w:rsid w:val="009F19AF"/>
    <w:rsid w:val="009F23E4"/>
    <w:rsid w:val="009F28CA"/>
    <w:rsid w:val="009F2DC7"/>
    <w:rsid w:val="009F56D2"/>
    <w:rsid w:val="009F642A"/>
    <w:rsid w:val="009F676F"/>
    <w:rsid w:val="009F6B56"/>
    <w:rsid w:val="009F77F4"/>
    <w:rsid w:val="009F7B9A"/>
    <w:rsid w:val="00A007F8"/>
    <w:rsid w:val="00A02206"/>
    <w:rsid w:val="00A02A2C"/>
    <w:rsid w:val="00A034FA"/>
    <w:rsid w:val="00A03605"/>
    <w:rsid w:val="00A03B0C"/>
    <w:rsid w:val="00A04C05"/>
    <w:rsid w:val="00A064E2"/>
    <w:rsid w:val="00A07173"/>
    <w:rsid w:val="00A11FEA"/>
    <w:rsid w:val="00A13132"/>
    <w:rsid w:val="00A16B84"/>
    <w:rsid w:val="00A20642"/>
    <w:rsid w:val="00A20662"/>
    <w:rsid w:val="00A23AEB"/>
    <w:rsid w:val="00A2694D"/>
    <w:rsid w:val="00A26C89"/>
    <w:rsid w:val="00A326A1"/>
    <w:rsid w:val="00A3561C"/>
    <w:rsid w:val="00A377E9"/>
    <w:rsid w:val="00A4137B"/>
    <w:rsid w:val="00A422C8"/>
    <w:rsid w:val="00A45073"/>
    <w:rsid w:val="00A47A0F"/>
    <w:rsid w:val="00A513A5"/>
    <w:rsid w:val="00A52367"/>
    <w:rsid w:val="00A5278C"/>
    <w:rsid w:val="00A55B16"/>
    <w:rsid w:val="00A55FCA"/>
    <w:rsid w:val="00A56AE6"/>
    <w:rsid w:val="00A60334"/>
    <w:rsid w:val="00A664D4"/>
    <w:rsid w:val="00A742F3"/>
    <w:rsid w:val="00A75187"/>
    <w:rsid w:val="00A84E46"/>
    <w:rsid w:val="00A85EA3"/>
    <w:rsid w:val="00A94896"/>
    <w:rsid w:val="00A94A42"/>
    <w:rsid w:val="00AA63F9"/>
    <w:rsid w:val="00AA6C98"/>
    <w:rsid w:val="00AA77F3"/>
    <w:rsid w:val="00AA7AD9"/>
    <w:rsid w:val="00AA7BA9"/>
    <w:rsid w:val="00AB00ED"/>
    <w:rsid w:val="00AB09F3"/>
    <w:rsid w:val="00AB0DD0"/>
    <w:rsid w:val="00AB15D5"/>
    <w:rsid w:val="00AB2400"/>
    <w:rsid w:val="00AB3BA7"/>
    <w:rsid w:val="00AC06BB"/>
    <w:rsid w:val="00AC261C"/>
    <w:rsid w:val="00AC5745"/>
    <w:rsid w:val="00AC73DF"/>
    <w:rsid w:val="00AD05C9"/>
    <w:rsid w:val="00AD0691"/>
    <w:rsid w:val="00AD0CDE"/>
    <w:rsid w:val="00AD2ED4"/>
    <w:rsid w:val="00AD3582"/>
    <w:rsid w:val="00AD46C7"/>
    <w:rsid w:val="00AD473E"/>
    <w:rsid w:val="00AD5B05"/>
    <w:rsid w:val="00AE48CB"/>
    <w:rsid w:val="00AE4F63"/>
    <w:rsid w:val="00AE5D7D"/>
    <w:rsid w:val="00AE6452"/>
    <w:rsid w:val="00AE7CE1"/>
    <w:rsid w:val="00AF046B"/>
    <w:rsid w:val="00AF11E0"/>
    <w:rsid w:val="00AF1413"/>
    <w:rsid w:val="00AF2168"/>
    <w:rsid w:val="00AF227B"/>
    <w:rsid w:val="00AF367C"/>
    <w:rsid w:val="00AF4FF1"/>
    <w:rsid w:val="00AF6484"/>
    <w:rsid w:val="00AF7EC1"/>
    <w:rsid w:val="00B00A8D"/>
    <w:rsid w:val="00B01AFD"/>
    <w:rsid w:val="00B0353E"/>
    <w:rsid w:val="00B05A51"/>
    <w:rsid w:val="00B05FD3"/>
    <w:rsid w:val="00B0665A"/>
    <w:rsid w:val="00B07DCA"/>
    <w:rsid w:val="00B1045D"/>
    <w:rsid w:val="00B1259E"/>
    <w:rsid w:val="00B13857"/>
    <w:rsid w:val="00B1637A"/>
    <w:rsid w:val="00B206A2"/>
    <w:rsid w:val="00B20753"/>
    <w:rsid w:val="00B20997"/>
    <w:rsid w:val="00B23D64"/>
    <w:rsid w:val="00B25C0D"/>
    <w:rsid w:val="00B26EE5"/>
    <w:rsid w:val="00B300C2"/>
    <w:rsid w:val="00B32F12"/>
    <w:rsid w:val="00B35247"/>
    <w:rsid w:val="00B3543D"/>
    <w:rsid w:val="00B35A46"/>
    <w:rsid w:val="00B35CC7"/>
    <w:rsid w:val="00B36E65"/>
    <w:rsid w:val="00B36E91"/>
    <w:rsid w:val="00B36F73"/>
    <w:rsid w:val="00B409BE"/>
    <w:rsid w:val="00B43CFA"/>
    <w:rsid w:val="00B50E50"/>
    <w:rsid w:val="00B52730"/>
    <w:rsid w:val="00B630C5"/>
    <w:rsid w:val="00B66B50"/>
    <w:rsid w:val="00B70C53"/>
    <w:rsid w:val="00B72410"/>
    <w:rsid w:val="00B72510"/>
    <w:rsid w:val="00B73159"/>
    <w:rsid w:val="00B74513"/>
    <w:rsid w:val="00B747F7"/>
    <w:rsid w:val="00B74B68"/>
    <w:rsid w:val="00B74C2E"/>
    <w:rsid w:val="00B766F6"/>
    <w:rsid w:val="00B81654"/>
    <w:rsid w:val="00B84E42"/>
    <w:rsid w:val="00B85F79"/>
    <w:rsid w:val="00B87BEA"/>
    <w:rsid w:val="00B87FA4"/>
    <w:rsid w:val="00B9001C"/>
    <w:rsid w:val="00B90B33"/>
    <w:rsid w:val="00B93908"/>
    <w:rsid w:val="00B9415A"/>
    <w:rsid w:val="00B95F33"/>
    <w:rsid w:val="00B95F70"/>
    <w:rsid w:val="00B972AB"/>
    <w:rsid w:val="00BA1A24"/>
    <w:rsid w:val="00BA221F"/>
    <w:rsid w:val="00BA25B0"/>
    <w:rsid w:val="00BA4432"/>
    <w:rsid w:val="00BA6AF6"/>
    <w:rsid w:val="00BB01FE"/>
    <w:rsid w:val="00BB0C03"/>
    <w:rsid w:val="00BB3057"/>
    <w:rsid w:val="00BB4854"/>
    <w:rsid w:val="00BC065D"/>
    <w:rsid w:val="00BC152E"/>
    <w:rsid w:val="00BC4239"/>
    <w:rsid w:val="00BC49F2"/>
    <w:rsid w:val="00BC53C8"/>
    <w:rsid w:val="00BC56B9"/>
    <w:rsid w:val="00BC5951"/>
    <w:rsid w:val="00BC7676"/>
    <w:rsid w:val="00BD3CD7"/>
    <w:rsid w:val="00BD60CB"/>
    <w:rsid w:val="00BE14A9"/>
    <w:rsid w:val="00BE41E6"/>
    <w:rsid w:val="00BE4879"/>
    <w:rsid w:val="00BE6C94"/>
    <w:rsid w:val="00BF05CD"/>
    <w:rsid w:val="00BF30E1"/>
    <w:rsid w:val="00BF4274"/>
    <w:rsid w:val="00BF5ED0"/>
    <w:rsid w:val="00BF6F1A"/>
    <w:rsid w:val="00C037CB"/>
    <w:rsid w:val="00C03EE7"/>
    <w:rsid w:val="00C04123"/>
    <w:rsid w:val="00C07020"/>
    <w:rsid w:val="00C0774C"/>
    <w:rsid w:val="00C14D16"/>
    <w:rsid w:val="00C160D8"/>
    <w:rsid w:val="00C16303"/>
    <w:rsid w:val="00C22A9C"/>
    <w:rsid w:val="00C2314E"/>
    <w:rsid w:val="00C23255"/>
    <w:rsid w:val="00C24E64"/>
    <w:rsid w:val="00C26D05"/>
    <w:rsid w:val="00C317D2"/>
    <w:rsid w:val="00C325AD"/>
    <w:rsid w:val="00C33E78"/>
    <w:rsid w:val="00C3579B"/>
    <w:rsid w:val="00C35EC9"/>
    <w:rsid w:val="00C376E5"/>
    <w:rsid w:val="00C476B9"/>
    <w:rsid w:val="00C47ABA"/>
    <w:rsid w:val="00C51911"/>
    <w:rsid w:val="00C52259"/>
    <w:rsid w:val="00C551B5"/>
    <w:rsid w:val="00C55D5B"/>
    <w:rsid w:val="00C61B6F"/>
    <w:rsid w:val="00C62FC7"/>
    <w:rsid w:val="00C6447B"/>
    <w:rsid w:val="00C64D61"/>
    <w:rsid w:val="00C667D2"/>
    <w:rsid w:val="00C72012"/>
    <w:rsid w:val="00C72C4B"/>
    <w:rsid w:val="00C744F4"/>
    <w:rsid w:val="00C74D26"/>
    <w:rsid w:val="00C7586C"/>
    <w:rsid w:val="00C8254B"/>
    <w:rsid w:val="00C826EC"/>
    <w:rsid w:val="00C82D30"/>
    <w:rsid w:val="00C82FF8"/>
    <w:rsid w:val="00C8309E"/>
    <w:rsid w:val="00C832E5"/>
    <w:rsid w:val="00C86FB9"/>
    <w:rsid w:val="00C87462"/>
    <w:rsid w:val="00C87B1E"/>
    <w:rsid w:val="00C91F59"/>
    <w:rsid w:val="00C949FB"/>
    <w:rsid w:val="00C95F6B"/>
    <w:rsid w:val="00C961D8"/>
    <w:rsid w:val="00C9660D"/>
    <w:rsid w:val="00C96D2D"/>
    <w:rsid w:val="00C97412"/>
    <w:rsid w:val="00C97B4B"/>
    <w:rsid w:val="00CA28E1"/>
    <w:rsid w:val="00CA52FE"/>
    <w:rsid w:val="00CA6EB6"/>
    <w:rsid w:val="00CB556A"/>
    <w:rsid w:val="00CB62B0"/>
    <w:rsid w:val="00CB72CF"/>
    <w:rsid w:val="00CC0AF3"/>
    <w:rsid w:val="00CC2B74"/>
    <w:rsid w:val="00CC3A3A"/>
    <w:rsid w:val="00CC3CC5"/>
    <w:rsid w:val="00CC5C5C"/>
    <w:rsid w:val="00CD305D"/>
    <w:rsid w:val="00CD3739"/>
    <w:rsid w:val="00CD4F87"/>
    <w:rsid w:val="00CD748D"/>
    <w:rsid w:val="00CE1C77"/>
    <w:rsid w:val="00CE2173"/>
    <w:rsid w:val="00CE2352"/>
    <w:rsid w:val="00CE3AA7"/>
    <w:rsid w:val="00CE6018"/>
    <w:rsid w:val="00CE6CA1"/>
    <w:rsid w:val="00CF03F0"/>
    <w:rsid w:val="00CF0BCD"/>
    <w:rsid w:val="00CF27E5"/>
    <w:rsid w:val="00CF2A5F"/>
    <w:rsid w:val="00CF35EC"/>
    <w:rsid w:val="00CF4B92"/>
    <w:rsid w:val="00D02EAA"/>
    <w:rsid w:val="00D0757A"/>
    <w:rsid w:val="00D1001F"/>
    <w:rsid w:val="00D13C0C"/>
    <w:rsid w:val="00D1537B"/>
    <w:rsid w:val="00D157A3"/>
    <w:rsid w:val="00D16486"/>
    <w:rsid w:val="00D22443"/>
    <w:rsid w:val="00D242B5"/>
    <w:rsid w:val="00D2462E"/>
    <w:rsid w:val="00D2577C"/>
    <w:rsid w:val="00D32EC7"/>
    <w:rsid w:val="00D3351C"/>
    <w:rsid w:val="00D335AB"/>
    <w:rsid w:val="00D34DD4"/>
    <w:rsid w:val="00D40EFD"/>
    <w:rsid w:val="00D44B3D"/>
    <w:rsid w:val="00D459A3"/>
    <w:rsid w:val="00D46C08"/>
    <w:rsid w:val="00D47112"/>
    <w:rsid w:val="00D52C60"/>
    <w:rsid w:val="00D543B1"/>
    <w:rsid w:val="00D554B6"/>
    <w:rsid w:val="00D55A10"/>
    <w:rsid w:val="00D55C98"/>
    <w:rsid w:val="00D563C6"/>
    <w:rsid w:val="00D60937"/>
    <w:rsid w:val="00D61C4C"/>
    <w:rsid w:val="00D622CD"/>
    <w:rsid w:val="00D64949"/>
    <w:rsid w:val="00D649A7"/>
    <w:rsid w:val="00D65474"/>
    <w:rsid w:val="00D66A11"/>
    <w:rsid w:val="00D74585"/>
    <w:rsid w:val="00D7599F"/>
    <w:rsid w:val="00D77264"/>
    <w:rsid w:val="00D77381"/>
    <w:rsid w:val="00D80647"/>
    <w:rsid w:val="00D814B2"/>
    <w:rsid w:val="00D83C13"/>
    <w:rsid w:val="00D8696F"/>
    <w:rsid w:val="00D86EF4"/>
    <w:rsid w:val="00D87DEA"/>
    <w:rsid w:val="00D9056F"/>
    <w:rsid w:val="00D909D0"/>
    <w:rsid w:val="00D92331"/>
    <w:rsid w:val="00D925C5"/>
    <w:rsid w:val="00D92AA0"/>
    <w:rsid w:val="00D945FD"/>
    <w:rsid w:val="00D946C3"/>
    <w:rsid w:val="00D947DF"/>
    <w:rsid w:val="00DA223C"/>
    <w:rsid w:val="00DA41CF"/>
    <w:rsid w:val="00DA4691"/>
    <w:rsid w:val="00DA4BCD"/>
    <w:rsid w:val="00DA4CD8"/>
    <w:rsid w:val="00DA72D5"/>
    <w:rsid w:val="00DA7D14"/>
    <w:rsid w:val="00DB5A85"/>
    <w:rsid w:val="00DB76A0"/>
    <w:rsid w:val="00DC1649"/>
    <w:rsid w:val="00DC2D7F"/>
    <w:rsid w:val="00DC4C62"/>
    <w:rsid w:val="00DC5C67"/>
    <w:rsid w:val="00DC5C77"/>
    <w:rsid w:val="00DC6C3F"/>
    <w:rsid w:val="00DC7872"/>
    <w:rsid w:val="00DD0B61"/>
    <w:rsid w:val="00DD224D"/>
    <w:rsid w:val="00DD32C7"/>
    <w:rsid w:val="00DD359F"/>
    <w:rsid w:val="00DD7AB2"/>
    <w:rsid w:val="00DE05B0"/>
    <w:rsid w:val="00DE1E5D"/>
    <w:rsid w:val="00DE3757"/>
    <w:rsid w:val="00DE7FC0"/>
    <w:rsid w:val="00DF0B28"/>
    <w:rsid w:val="00DF0EC2"/>
    <w:rsid w:val="00DF1B7B"/>
    <w:rsid w:val="00DF3077"/>
    <w:rsid w:val="00DF674D"/>
    <w:rsid w:val="00DF6D55"/>
    <w:rsid w:val="00DF762D"/>
    <w:rsid w:val="00DF7958"/>
    <w:rsid w:val="00E00926"/>
    <w:rsid w:val="00E01AD9"/>
    <w:rsid w:val="00E06DEE"/>
    <w:rsid w:val="00E07DDF"/>
    <w:rsid w:val="00E110E0"/>
    <w:rsid w:val="00E11883"/>
    <w:rsid w:val="00E2069C"/>
    <w:rsid w:val="00E20975"/>
    <w:rsid w:val="00E215EB"/>
    <w:rsid w:val="00E22F59"/>
    <w:rsid w:val="00E27A29"/>
    <w:rsid w:val="00E30CCA"/>
    <w:rsid w:val="00E31D94"/>
    <w:rsid w:val="00E331A0"/>
    <w:rsid w:val="00E33D02"/>
    <w:rsid w:val="00E410A6"/>
    <w:rsid w:val="00E43B19"/>
    <w:rsid w:val="00E4597E"/>
    <w:rsid w:val="00E46176"/>
    <w:rsid w:val="00E515AA"/>
    <w:rsid w:val="00E52ABB"/>
    <w:rsid w:val="00E540F1"/>
    <w:rsid w:val="00E56BB3"/>
    <w:rsid w:val="00E60960"/>
    <w:rsid w:val="00E618BD"/>
    <w:rsid w:val="00E62CCD"/>
    <w:rsid w:val="00E727D7"/>
    <w:rsid w:val="00E72B6E"/>
    <w:rsid w:val="00E7512E"/>
    <w:rsid w:val="00E7559B"/>
    <w:rsid w:val="00E7575E"/>
    <w:rsid w:val="00E77ACF"/>
    <w:rsid w:val="00E82D49"/>
    <w:rsid w:val="00E83FB7"/>
    <w:rsid w:val="00E86881"/>
    <w:rsid w:val="00E87131"/>
    <w:rsid w:val="00E90D64"/>
    <w:rsid w:val="00E91A1C"/>
    <w:rsid w:val="00E91DAC"/>
    <w:rsid w:val="00EA0D26"/>
    <w:rsid w:val="00EA3197"/>
    <w:rsid w:val="00EA35E4"/>
    <w:rsid w:val="00EA3C06"/>
    <w:rsid w:val="00EA5B66"/>
    <w:rsid w:val="00EA652C"/>
    <w:rsid w:val="00EA6EA6"/>
    <w:rsid w:val="00EA7A16"/>
    <w:rsid w:val="00EB2FA3"/>
    <w:rsid w:val="00EB30DB"/>
    <w:rsid w:val="00EB58F3"/>
    <w:rsid w:val="00EB6993"/>
    <w:rsid w:val="00EB7871"/>
    <w:rsid w:val="00EC1473"/>
    <w:rsid w:val="00EC1952"/>
    <w:rsid w:val="00EC3964"/>
    <w:rsid w:val="00EC41F6"/>
    <w:rsid w:val="00EC49EA"/>
    <w:rsid w:val="00EC6288"/>
    <w:rsid w:val="00EC7B8A"/>
    <w:rsid w:val="00ED4211"/>
    <w:rsid w:val="00ED468B"/>
    <w:rsid w:val="00EE03E8"/>
    <w:rsid w:val="00EE1943"/>
    <w:rsid w:val="00EE3C4D"/>
    <w:rsid w:val="00EE4594"/>
    <w:rsid w:val="00EE4BC7"/>
    <w:rsid w:val="00EE7122"/>
    <w:rsid w:val="00EF0A13"/>
    <w:rsid w:val="00EF5347"/>
    <w:rsid w:val="00EF68F2"/>
    <w:rsid w:val="00EF6BD1"/>
    <w:rsid w:val="00EF79A8"/>
    <w:rsid w:val="00EF7C07"/>
    <w:rsid w:val="00F01F5B"/>
    <w:rsid w:val="00F021BA"/>
    <w:rsid w:val="00F03B59"/>
    <w:rsid w:val="00F0427D"/>
    <w:rsid w:val="00F061EC"/>
    <w:rsid w:val="00F10836"/>
    <w:rsid w:val="00F10B7C"/>
    <w:rsid w:val="00F1271A"/>
    <w:rsid w:val="00F13034"/>
    <w:rsid w:val="00F146EF"/>
    <w:rsid w:val="00F1479E"/>
    <w:rsid w:val="00F159A7"/>
    <w:rsid w:val="00F16FA3"/>
    <w:rsid w:val="00F17071"/>
    <w:rsid w:val="00F1710F"/>
    <w:rsid w:val="00F17A7A"/>
    <w:rsid w:val="00F17F38"/>
    <w:rsid w:val="00F22779"/>
    <w:rsid w:val="00F24AC9"/>
    <w:rsid w:val="00F259C6"/>
    <w:rsid w:val="00F26138"/>
    <w:rsid w:val="00F309C7"/>
    <w:rsid w:val="00F34F69"/>
    <w:rsid w:val="00F41308"/>
    <w:rsid w:val="00F42783"/>
    <w:rsid w:val="00F43FE6"/>
    <w:rsid w:val="00F457C1"/>
    <w:rsid w:val="00F4582B"/>
    <w:rsid w:val="00F55248"/>
    <w:rsid w:val="00F56DE7"/>
    <w:rsid w:val="00F5792A"/>
    <w:rsid w:val="00F6000F"/>
    <w:rsid w:val="00F60AA7"/>
    <w:rsid w:val="00F62607"/>
    <w:rsid w:val="00F62CE8"/>
    <w:rsid w:val="00F63A26"/>
    <w:rsid w:val="00F65A6D"/>
    <w:rsid w:val="00F66333"/>
    <w:rsid w:val="00F71768"/>
    <w:rsid w:val="00F71A8F"/>
    <w:rsid w:val="00F72FE3"/>
    <w:rsid w:val="00F738B1"/>
    <w:rsid w:val="00F741D1"/>
    <w:rsid w:val="00F805AF"/>
    <w:rsid w:val="00F80846"/>
    <w:rsid w:val="00F834B2"/>
    <w:rsid w:val="00F90036"/>
    <w:rsid w:val="00F90ADD"/>
    <w:rsid w:val="00F957F9"/>
    <w:rsid w:val="00FA01E9"/>
    <w:rsid w:val="00FA1DAA"/>
    <w:rsid w:val="00FA2E55"/>
    <w:rsid w:val="00FA3114"/>
    <w:rsid w:val="00FA3701"/>
    <w:rsid w:val="00FA431A"/>
    <w:rsid w:val="00FA4E64"/>
    <w:rsid w:val="00FA4F84"/>
    <w:rsid w:val="00FB025D"/>
    <w:rsid w:val="00FB41DF"/>
    <w:rsid w:val="00FB49E9"/>
    <w:rsid w:val="00FB4AE1"/>
    <w:rsid w:val="00FB51BC"/>
    <w:rsid w:val="00FB68A4"/>
    <w:rsid w:val="00FB7F14"/>
    <w:rsid w:val="00FC22B7"/>
    <w:rsid w:val="00FC4B60"/>
    <w:rsid w:val="00FC5750"/>
    <w:rsid w:val="00FC6DB1"/>
    <w:rsid w:val="00FC73D0"/>
    <w:rsid w:val="00FC7CAD"/>
    <w:rsid w:val="00FC7D63"/>
    <w:rsid w:val="00FD013D"/>
    <w:rsid w:val="00FD0CF5"/>
    <w:rsid w:val="00FD1366"/>
    <w:rsid w:val="00FD2BEA"/>
    <w:rsid w:val="00FD34B8"/>
    <w:rsid w:val="00FD4CE8"/>
    <w:rsid w:val="00FD53A8"/>
    <w:rsid w:val="00FD7324"/>
    <w:rsid w:val="00FE1C47"/>
    <w:rsid w:val="00FE22BE"/>
    <w:rsid w:val="00FE3369"/>
    <w:rsid w:val="00FE5510"/>
    <w:rsid w:val="00FE6255"/>
    <w:rsid w:val="00FE65A5"/>
    <w:rsid w:val="00FE66A7"/>
    <w:rsid w:val="00FF2DC9"/>
    <w:rsid w:val="00FF3911"/>
    <w:rsid w:val="00FF4BAB"/>
    <w:rsid w:val="00FF5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/>
        <w:ind w:left="839" w:hanging="83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61D8"/>
    <w:pPr>
      <w:ind w:left="0" w:firstLine="0"/>
      <w:jc w:val="both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AD2ED4"/>
    <w:pPr>
      <w:keepNext/>
      <w:keepLines/>
      <w:outlineLvl w:val="0"/>
    </w:pPr>
    <w:rPr>
      <w:rFonts w:eastAsia="Calibri" w:cs="Times New Roman"/>
      <w:b/>
      <w:cap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41CF"/>
    <w:pPr>
      <w:keepNext/>
      <w:keepLines/>
      <w:outlineLvl w:val="1"/>
    </w:pPr>
    <w:rPr>
      <w:rFonts w:eastAsiaTheme="majorEastAsia" w:cstheme="majorBidi"/>
      <w:b/>
      <w:bCs/>
      <w:smallCaps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A41CF"/>
    <w:pPr>
      <w:keepNext/>
      <w:keepLines/>
      <w:outlineLvl w:val="2"/>
    </w:pPr>
    <w:rPr>
      <w:rFonts w:eastAsiaTheme="majorEastAsia" w:cstheme="majorBidi"/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41CF"/>
    <w:rPr>
      <w:rFonts w:ascii="Arial" w:eastAsiaTheme="majorEastAsia" w:hAnsi="Arial" w:cstheme="majorBidi"/>
      <w:b/>
      <w:bCs/>
      <w:smallCaps/>
      <w:sz w:val="24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41CF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i/>
      <w:spacing w:val="5"/>
      <w:kern w:val="28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A41CF"/>
    <w:rPr>
      <w:rFonts w:ascii="Arial" w:eastAsiaTheme="majorEastAsia" w:hAnsi="Arial" w:cstheme="majorBidi"/>
      <w:b/>
      <w:i/>
      <w:spacing w:val="5"/>
      <w:kern w:val="28"/>
      <w:sz w:val="24"/>
      <w:szCs w:val="5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A41CF"/>
    <w:rPr>
      <w:rFonts w:ascii="Arial" w:eastAsiaTheme="majorEastAsia" w:hAnsi="Arial" w:cstheme="majorBidi"/>
      <w:b/>
      <w:bCs/>
      <w:i/>
      <w:sz w:val="24"/>
    </w:rPr>
  </w:style>
  <w:style w:type="paragraph" w:styleId="Paragrafoelenco">
    <w:name w:val="List Paragraph"/>
    <w:basedOn w:val="Normale"/>
    <w:uiPriority w:val="34"/>
    <w:qFormat/>
    <w:rsid w:val="00DA41C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AD2ED4"/>
    <w:rPr>
      <w:rFonts w:ascii="Arial" w:eastAsia="Calibri" w:hAnsi="Arial" w:cs="Times New Roman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8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2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5995</Words>
  <Characters>34174</Characters>
  <Application>Microsoft Office Word</Application>
  <DocSecurity>0</DocSecurity>
  <Lines>284</Lines>
  <Paragraphs>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EFaina</dc:creator>
  <cp:lastModifiedBy>Marina Forte</cp:lastModifiedBy>
  <cp:revision>2</cp:revision>
  <dcterms:created xsi:type="dcterms:W3CDTF">2013-07-01T10:44:00Z</dcterms:created>
  <dcterms:modified xsi:type="dcterms:W3CDTF">2013-07-01T10:44:00Z</dcterms:modified>
</cp:coreProperties>
</file>